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Аудит соблюдения договоров с поставщиками — исполнительное резюме</w:t>
      </w:r>
    </w:p>
    <w:p>
      <w:pPr>
        <w:pStyle w:val="Heading1"/>
      </w:pPr>
      <w:r>
        <w:t>Объём и методология аудита</w:t>
      </w:r>
    </w:p>
    <w:p>
      <w:r>
        <w:t>В рамках аудита рассмотрены договоры с пятью основными поставщиками с совокупным годовым объёмом 103,6 млн рублей. Каждый договор был систематически проверен на соответствие стандартам компании, охватывающим определение предмета, соглашения об уровне обслуживания, условия оплаты, права на интеллектуальную собственность, положения о конфиденциальности и ограничения ответственности.</w:t>
      </w:r>
    </w:p>
    <w:p>
      <w:pPr>
        <w:pStyle w:val="Heading1"/>
      </w:pPr>
      <w:r>
        <w:t>Общий статус соответствия</w:t>
      </w:r>
    </w:p>
    <w:p>
      <w:r>
        <w:t>Средний балл соответствия (Average Compliance Score): 81/100</w:t>
      </w:r>
    </w:p>
    <w:p>
      <w:r>
        <w:t>Поставщики высокого риска (High Risk): 1 (20%)</w:t>
      </w:r>
    </w:p>
    <w:p>
      <w:r>
        <w:t>Поставщики среднего риска (Medium Risk): 2 (40%)</w:t>
      </w:r>
    </w:p>
    <w:p>
      <w:r>
        <w:t>Поставщики низкого риска (Low Risk): 2 (40%)</w:t>
      </w:r>
    </w:p>
    <w:p>
      <w:pPr>
        <w:pStyle w:val="Heading1"/>
      </w:pPr>
      <w:r>
        <w:t>Ключевые выводы</w:t>
      </w:r>
    </w:p>
    <w:p>
      <w:r>
        <w:t>Пробелы в соответствии сосредоточены в трёх областях: ограничение ответственности (40% несоответствий), соглашения об уровне обслуживания (40% неполных или отсутствующих) и определение интеллектуальной собственности (40% неоднозначны). Один договор поставщика существенно отклоняется от стандартных условий оплаты.</w:t>
      </w:r>
    </w:p>
    <w:p>
      <w:pPr>
        <w:pStyle w:val="Heading1"/>
      </w:pPr>
      <w:r>
        <w:t>Стратегические рекомендации</w:t>
      </w:r>
    </w:p>
    <w:p>
      <w:r>
        <w:t>Срочные действия (30 дней): пересмотреть условия оплаты с КонтролКачество для приведения в соответствие со стандартом компании; устранить пробелы в ограничении ответственности с ООО ТехСервис и Глобал Логистика.</w:t>
      </w:r>
    </w:p>
    <w:p>
      <w:r>
        <w:t>Краткосрочные действия (30–60 дней): разработать и внедрить приложения об SLA для поставщиков без определённых уровней обслуживания; уточнить условия о праве на ИС с КонсалтГрупп.</w:t>
      </w:r>
    </w:p>
    <w:p>
      <w:r>
        <w:t>Текущие действия (60–90 дней): усилить положения о конфиденциальности во всех договорах; внедрить процесс ежегодной проверки соответствия для всех договоров с поставщиками.</w:t>
      </w:r>
    </w:p>
    <w:p>
      <w:pPr>
        <w:pStyle w:val="Heading1"/>
      </w:pPr>
      <w:r>
        <w:t>Потребность в ресурсах</w:t>
      </w:r>
    </w:p>
    <w:p>
      <w:r>
        <w:t>Оценочная стоимость устранения недостатков: 1 480 000 рублей</w:t>
      </w:r>
    </w:p>
    <w:p>
      <w:r>
        <w:t>Время команды закупок: 80 часов</w:t>
      </w:r>
    </w:p>
    <w:p>
      <w:r>
        <w:t>Юридическая экспертиза: 20 часов</w:t>
      </w:r>
    </w:p>
    <w:p>
      <w:pPr>
        <w:pStyle w:val="Heading1"/>
      </w:pPr>
      <w:r>
        <w:t>Организационное влияние</w:t>
      </w:r>
    </w:p>
    <w:p>
      <w:r>
        <w:t>Устранение выявленных пробелов в соответствии существенно снизит организационный риск. Реализация рекомендованных мер позволит установить единые стандарты договоров, усилить защиту интеллектуальной собственности и сформировать чёткие операционные ожидания в отношениях с поставщиками.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