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оцениванию курсов</w:t>
      </w:r>
    </w:p>
    <w:p>
      <w:pPr>
        <w:pStyle w:val="Heading1"/>
      </w:pPr>
      <w:r>
        <w:t>Структура заданий курсов</w:t>
      </w:r>
    </w:p>
    <w:p>
      <w:r>
        <w:t>Обзор охватывает два курса по биохимии и биоинформатике (Biochemistry &amp; Bioinformatics). Курс 3 (Fall 2013) содержит 12 заданий с суммарным числом сдач 14375. Курс 4 (Fall 2014) содержит 6 заданий с суммарным числом сдач 7408. Задания включают работы типа CMA, TMA и итоговый экзамен (Final Exam) с разным числом баллов.</w:t>
      </w:r>
    </w:p>
    <w:p>
      <w:pPr>
        <w:pStyle w:val="Heading1"/>
      </w:pPr>
      <w:r>
        <w:t>Анализ базы рецептов</w:t>
      </w:r>
    </w:p>
    <w:p>
      <w:r>
        <w:t>Кулинарная база рецептов (kulinar) содержит 50 рецептов русской кухни, распределённых по 8 категориям: салат, закуска, суп, горячее, гарнир, выпечка, десерт и напиток. Самая крупная категория — горячее (10 рецептов), за ней следуют суп (8) и салат (7). Средний уровень сложности (difficulty) различается по категориям: наиболее сложная — выпечка (3.0), наиболее простые — гарнир (1.0) и напиток (1.2).</w:t>
      </w:r>
    </w:p>
    <w:p>
      <w:pPr>
        <w:pStyle w:val="Heading1"/>
      </w:pPr>
      <w:r>
        <w:t>Рекомендации по интеграции в учебную программу</w:t>
      </w:r>
    </w:p>
    <w:p>
      <w:r>
        <w:t>База рецептов предлагает материал, который мог бы дополнить программу по биохимии. Рецепты с подробными списками ингредиентов и шагами приготовления можно использовать как практические примеры биохимических процессов. Рекомендуется связать категории рецептов с темами курса и предложить студентам разбирать состав блюд для закрепления учебного материала.</w:t>
      </w:r>
    </w:p>
    <w:p>
      <w:pPr>
        <w:pStyle w:val="Heading1"/>
      </w:pPr>
      <w:r>
        <w:t>График проверки</w:t>
      </w:r>
    </w:p>
    <w:p>
      <w:r>
        <w:t>Составлен график проверки всех 12 заданий курса 3, начиная с 10 марта 2026 года. Каждая сессия длится 60 минут, по одной сессии в день, только по будням.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