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влияния цен на сырьевые товары</w:t>
      </w:r>
    </w:p>
    <w:p>
      <w:pPr>
        <w:pStyle w:val="Heading1"/>
      </w:pPr>
      <w:r>
        <w:t>Резюме (Executive Summary)</w:t>
      </w:r>
    </w:p>
    <w:p>
      <w:r>
        <w:t>В настоящем отчёте анализируется влияние колебаний цен на сырьевые товары, в особенности на золото (GLDRUB_TOM), на стратегию ценообразования по шести категориям товаров. За последние 20 торговых дней цена на золото демонстрирует восходящий тренд: текущая цена 5093.30 RUB/грамм находится выше 20-дневного скользящего среднего (5016.52). Анализ выявляет категорию Часы как наиболее чувствительную к колебаниям цены на золото с чувствительностью 40%, что требует незамедлительного рассмотрения вопроса о пересмотре цен.</w:t>
      </w:r>
    </w:p>
    <w:p>
      <w:pPr>
        <w:pStyle w:val="Heading1"/>
      </w:pPr>
      <w:r>
        <w:t>Анализ подверженности по категориям</w:t>
      </w:r>
    </w:p>
    <w:p>
      <w:r>
        <w:t>Наш каталог товаров охватывает шесть категорий с различным уровнем чувствительности к сырьевым ценам. Часы имеют наибольшую подверженность — 40% чувствительности — из-за значительного содержания золота в компонентах часов. Электроника следует за ними с 15%, что отражает использование драгоценных металлов в электронных компонентах. Аудио и Камеры имеют одинаковую чувствительность 10%, тогда как Бытовая техника (8%) и ТВ и домашний кинотеатр (5%) имеют более низкую подверженность.</w:t>
      </w:r>
    </w:p>
    <w:p>
      <w:r>
        <w:t>Категория Часы со средней ценой 60.69 и 6 товарами сталкивается с оценочным влиянием на себестоимость материалов в размере 24.28 на единицу из-за колебаний сырьевых цен. Категория Электроника, несмотря на 30 товаров со средней ценой 61.13, имеет более умеренное оценочное влияние 9.17 на единицу из-за более низкой чувствительности 15%.</w:t>
      </w:r>
    </w:p>
    <w:p>
      <w:pPr>
        <w:pStyle w:val="Heading1"/>
      </w:pPr>
      <w:r>
        <w:t>Анализ тренда цены на золото</w:t>
      </w:r>
    </w:p>
    <w:p>
      <w:r>
        <w:t>За 20-дневный аналитический период (с 29 апреля по 26 мая 2026 года) золото (GLDRUB_TOM) продемонстрировало общий восходящий импульс. Диапазон цен составил от 4944.05 до 5093.30 при 20-дневном скользящем среднем приблизительно 5016.52. Последняя цена закрытия 5093.30 выше скользящего среднего, что указывает на восходящий (бычий) тренд.</w:t>
      </w:r>
    </w:p>
    <w:p>
      <w:pPr>
        <w:pStyle w:val="Heading1"/>
      </w:pPr>
      <w:r>
        <w:t>Рекомендации</w:t>
      </w:r>
    </w:p>
    <w:p>
      <w:r>
        <w:t>На основе проведённого анализа мы рекомендуем следующие действия по ценообразованию:</w:t>
      </w:r>
    </w:p>
    <w:p>
      <w:r>
        <w:t>1. Часы: незамедлительно пересмотреть цены (Review Pricing). При чувствительности 40% и растущей цене на золото маржа по товарам категории Часы находится под угрозой. Рассмотрите возможность повышения цен на 3-5% для защиты маржи.</w:t>
      </w:r>
    </w:p>
    <w:p>
      <w:r>
        <w:t>2. Электроника: внимательно отслеживать (Monitor). При чувствительности 15% влияние умеренное, однако категория включает 30 товаров, которые в совокупности представляют значительную выручку.</w:t>
      </w:r>
    </w:p>
    <w:p>
      <w:r>
        <w:t>3. Аудио, Камеры, Бытовая техника, ТВ и домашний кинотеатр: продолжать мониторинг. Эти категории имеют более низкую чувствительность и не требуют незамедлительных действий по ценообразованию, если только цена на золото не вырастет более чем на 10% от текущих уровней.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