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Обзор результатов портфеля за 1 кв. 2025</w:t>
      </w:r>
    </w:p>
    <w:p>
      <w:pPr>
        <w:pStyle w:val="Heading2"/>
      </w:pPr>
      <w:r>
        <w:t>Краткое резюме</w:t>
      </w:r>
    </w:p>
    <w:p>
      <w:r>
        <w:t>Настоящий отчёт представляет ежеквартальный обзор результатов портфеля акций компании, состоящего из пяти бумаг: Сбербанк (SBER.ME), Газпром (GAZP.ME), ЛУКОЙЛ (LKOH.ME), Т-Технологии (TCSG.ME) и Магнит (MGNT.ME). За отчётный период средняя совокупная доходность портфеля составила около -1,0%, при этом результаты отдельных бумаг существенно различались. Все цены и расчёты приведены в российских рублях.</w:t>
      </w:r>
    </w:p>
    <w:p>
      <w:pPr>
        <w:pStyle w:val="Heading2"/>
      </w:pPr>
      <w:r>
        <w:t>Анализ отдельных бумаг</w:t>
      </w:r>
    </w:p>
    <w:p>
      <w:r>
        <w:t>Лучший результат показал Газпром (GAZP.ME) с совокупной доходностью 9,3%, поддержанной устойчивостью энергетического сектора. Худший результат у Т-Технологии (TCSG.ME): -5,8%; близко к нему Сбербанк (SBER.ME) с -5,1%. ЛУКОЙЛ (LKOH.ME) и Магнит (MGNT.ME) показали умеренное снижение: -1,7% и -1,8% соответственно.</w:t>
      </w:r>
    </w:p>
    <w:p>
      <w:pPr>
        <w:pStyle w:val="Heading2"/>
      </w:pPr>
      <w:r>
        <w:t>Анализ рисков</w:t>
      </w:r>
    </w:p>
    <w:p>
      <w:r>
        <w:t>Наибольшую годовую волатильность продемонстрировал Сбербанк (SBER.ME) — 19,5%, наименьшую — Газпром (GAZP.ME) — 16,7%. Коэффициент Шарпа был положительным только у Газпрома (1,87); у остальных бумаг он отрицательный, что отражает доходность ниже безрисковой ставки 5%. Максимальная просадка наблюдалась у Сбербанка (-12,3%) и Магнита (-12,1%).</w:t>
      </w:r>
    </w:p>
    <w:p>
      <w:pPr>
        <w:pStyle w:val="Heading2"/>
      </w:pPr>
      <w:r>
        <w:t>Рекомендации</w:t>
      </w:r>
    </w:p>
    <w:p>
      <w:r>
        <w:t>1. Рассмотреть сокращение позиции в Т-Технологии (TCSG.ME) с учётом отрицательной доходности и высокой волатильности либо удерживать её с долгосрочным горизонтом.</w:t>
      </w:r>
    </w:p>
    <w:p>
      <w:r>
        <w:t>2. Сохранить позицию в Газпроме (GAZP.ME) как наиболее стабильный актив портфеля с положительным коэффициентом Шарпа.</w:t>
      </w:r>
    </w:p>
    <w:p>
      <w:r>
        <w:t>3. Провести ребалансировку в пользу секторной диверсификации, снизив концентрацию в финансовом секторе (Сбербанк, Т-Технологии).</w:t>
      </w:r>
    </w:p>
    <w:p>
      <w:r>
        <w:t>4. Рассмотреть добавление облигаций для снижения общей волатильности портфеля и защиты от просадок.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