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Commodity Impact and Pricing Strategy Memo</w:t>
      </w:r>
    </w:p>
    <w:p>
      <w:pPr>
        <w:pStyle w:val="Heading1"/>
      </w:pPr>
      <w:r>
        <w:t>Market Overview</w:t>
      </w:r>
    </w:p>
    <w:p>
      <w:r>
        <w:t>Золото (GLDRUB_TOM) изменилось примерно на 27.01% за период анализа: средняя цена закрытия 4549.5 RUB/грамм, волатильность (стандартное отклонение) 292.11. Это умеренный рост, который не превышает порог значимости в 50% и указывает на ограниченное давление сырьевых издержек.</w:t>
      </w:r>
    </w:p>
    <w:p>
      <w:r>
        <w:t>Акции Ozon (OZON.ME), используемые как индикатор уверенности потребительского циклического спроса, изменились примерно на 18.75% за тот же период: средняя цена 3863.96, волатильность 221.26. Это говорит о том, что потребительский спрос остаётся относительно здоровым.</w:t>
      </w:r>
    </w:p>
    <w:p>
      <w:pPr>
        <w:pStyle w:val="Heading1"/>
      </w:pPr>
      <w:r>
        <w:t>Product Margin Analysis</w:t>
      </w:r>
    </w:p>
    <w:p>
      <w:r>
        <w:t>Маржа по всем категориям товаров сейчас оценивается в 40% (себестоимость — 60% от розничной цены). Каталог охватывает категории: Аудио, Бытовая техника, Камеры, ТВ и домашний кинотеатр, Часы, Электроника. Наибольший объём продаж приходится на категорию «Электроника».</w:t>
      </w:r>
    </w:p>
    <w:p>
      <w:pPr>
        <w:pStyle w:val="Heading1"/>
      </w:pPr>
      <w:r>
        <w:t>Strategic Recommendations</w:t>
      </w:r>
    </w:p>
    <w:p>
      <w:r>
        <w:t>Поскольку цены на золото выросли умеренно (27.01%, ниже порога значимости 50%), рекомендуется сохранить целевую маржу на уровне 40% по всем категориям (Maintain current pricing). Положительная динамика OZON.ME подтверждает устойчивость потребительского спроса.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