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Health Report Q1 2026</w:t>
      </w:r>
    </w:p>
    <w:p>
      <w:r>
        <w:t>Настоящий отчёт содержит оценку финансового состояния трёх компаний инвестиционного портфеля: Ozon (OZON.ME), Yandex (YNDX.ME) и PhosAgro (PHOR.ME).</w:t>
      </w:r>
    </w:p>
    <w:p>
      <w:r>
        <w:t>Ozon лидирует по совокупной выручке — приблизительно 812.40 млрд рублей. Yandex демонстрирует наибольшую прибыльность: чистая прибыль 158.60 млрд рублей при марже прибыли 33.61 процента.</w:t>
      </w:r>
    </w:p>
    <w:p>
      <w:r>
        <w:t>PhosAgro имеет наименьшую выручку среди трёх компаний — 101.50 млрд рублей, однако сохраняет высокую маржу прибыли 28.97 процента. Совокупная база активов портфеля устойчива: Total Assets составляют 905.30, 651.10 и 214.60 млрд рублей соответственно.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