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Gas Ratio Professional Report</w:t>
      </w:r>
    </w:p>
    <w:p>
      <w:r>
        <w:rPr>
          <w:b w:val="0"/>
        </w:rPr>
        <w:t>Инженерное заключение по вероятным УВ-интервалам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60"/>
        <w:gridCol w:w="5160"/>
      </w:tblGrid>
      <w:tr>
        <w:tc>
          <w:tcPr>
            <w:tcW w:type="dxa" w:w="5160"/>
            <w:vAlign w:val="top"/>
          </w:tcPr>
          <w:p>
            <w:r>
              <w:rPr>
                <w:b/>
              </w:rPr>
              <w:t>Источник данных</w:t>
            </w:r>
          </w:p>
        </w:tc>
        <w:tc>
          <w:tcPr>
            <w:tcW w:type="dxa" w:w="5160"/>
            <w:vAlign w:val="top"/>
          </w:tcPr>
          <w:p>
            <w:r>
              <w:t>export-smoke-sample.las</w:t>
            </w:r>
          </w:p>
        </w:tc>
      </w:tr>
      <w:tr>
        <w:tc>
          <w:tcPr>
            <w:tcW w:type="dxa" w:w="5160"/>
            <w:vAlign w:val="top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5160"/>
            <w:vAlign w:val="top"/>
          </w:tcPr>
          <w:p>
            <w:r>
              <w:t>Gas Ratio Pro QA</w:t>
            </w:r>
          </w:p>
        </w:tc>
      </w:tr>
      <w:tr>
        <w:tc>
          <w:tcPr>
            <w:tcW w:type="dxa" w:w="5160"/>
            <w:vAlign w:val="top"/>
          </w:tcPr>
          <w:p>
            <w:r>
              <w:rPr>
                <w:b/>
              </w:rPr>
              <w:t>Интервал анализа</w:t>
            </w:r>
          </w:p>
        </w:tc>
        <w:tc>
          <w:tcPr>
            <w:tcW w:type="dxa" w:w="5160"/>
            <w:vAlign w:val="top"/>
          </w:tcPr>
          <w:p>
            <w:r>
              <w:t>2148.2-2156.0 м</w:t>
            </w:r>
          </w:p>
        </w:tc>
      </w:tr>
      <w:tr>
        <w:tc>
          <w:tcPr>
            <w:tcW w:type="dxa" w:w="5160"/>
            <w:vAlign w:val="top"/>
          </w:tcPr>
          <w:p>
            <w:r>
              <w:rPr>
                <w:b/>
              </w:rPr>
              <w:t>Профиль отчета</w:t>
            </w:r>
          </w:p>
        </w:tc>
        <w:tc>
          <w:tcPr>
            <w:tcW w:type="dxa" w:w="5160"/>
            <w:vAlign w:val="top"/>
          </w:tcPr>
          <w:p>
            <w:r>
              <w:t>Инженерный</w:t>
            </w:r>
          </w:p>
        </w:tc>
      </w:tr>
    </w:tbl>
    <w:p/>
    <w:p>
      <w:r>
        <w:rPr>
          <w:b w:val="0"/>
        </w:rPr>
        <w:t>Каждая интерпретация является инженерной гипотезой и должна оцениваться совместно с ГИС, литологией, керном и испытаниями.</w:t>
      </w:r>
    </w:p>
    <w:p>
      <w:pPr>
        <w:pStyle w:val="Heading2"/>
      </w:pPr>
      <w:r>
        <w:rPr>
          <w:b w:val="0"/>
        </w:rPr>
        <w:t>Краткое инженерное заключение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40"/>
        <w:gridCol w:w="3440"/>
        <w:gridCol w:w="3440"/>
      </w:tblGrid>
      <w:tr>
        <w:tc>
          <w:tcPr>
            <w:tcW w:type="dxa" w:w="344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344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344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3440"/>
            <w:vAlign w:val="top"/>
          </w:tcPr>
          <w:p>
            <w:r>
              <w:t>Вероятные продуктивные интервалы</w:t>
            </w:r>
          </w:p>
        </w:tc>
        <w:tc>
          <w:tcPr>
            <w:tcW w:type="dxa" w:w="3440"/>
            <w:vAlign w:val="top"/>
          </w:tcPr>
          <w:p>
            <w:r>
              <w:t>1</w:t>
            </w:r>
          </w:p>
        </w:tc>
        <w:tc>
          <w:tcPr>
            <w:tcW w:type="dxa" w:w="3440"/>
            <w:vAlign w:val="top"/>
          </w:tcPr>
          <w:p>
            <w:r>
              <w:t>Газ, нефть, газоконденсат и смешанные УВ-интервалы.</w:t>
            </w:r>
          </w:p>
        </w:tc>
      </w:tr>
      <w:tr>
        <w:tc>
          <w:tcPr>
            <w:tcW w:type="dxa" w:w="3440"/>
            <w:vAlign w:val="top"/>
          </w:tcPr>
          <w:p>
            <w:r>
              <w:t>Газовый интервал</w:t>
            </w:r>
          </w:p>
        </w:tc>
        <w:tc>
          <w:tcPr>
            <w:tcW w:type="dxa" w:w="3440"/>
            <w:vAlign w:val="top"/>
          </w:tcPr>
          <w:p>
            <w:r>
              <w:t>1</w:t>
            </w:r>
          </w:p>
        </w:tc>
        <w:tc>
          <w:tcPr>
            <w:tcW w:type="dxa" w:w="3440"/>
            <w:vAlign w:val="top"/>
          </w:tcPr>
          <w:p>
            <w:r/>
          </w:p>
        </w:tc>
      </w:tr>
      <w:tr>
        <w:tc>
          <w:tcPr>
            <w:tcW w:type="dxa" w:w="3440"/>
            <w:vAlign w:val="top"/>
          </w:tcPr>
          <w:p>
            <w:r>
              <w:t>Наиболее перспективный интервал</w:t>
            </w:r>
          </w:p>
        </w:tc>
        <w:tc>
          <w:tcPr>
            <w:tcW w:type="dxa" w:w="3440"/>
            <w:vAlign w:val="top"/>
          </w:tcPr>
          <w:p>
            <w:r>
              <w:t>2148.2–2156 м</w:t>
            </w:r>
          </w:p>
        </w:tc>
        <w:tc>
          <w:tcPr>
            <w:tcW w:type="dxa" w:w="3440"/>
            <w:vAlign w:val="top"/>
          </w:tcPr>
          <w:p>
            <w:r>
              <w:t>Газовый интервал, достоверность 92%.</w:t>
            </w:r>
          </w:p>
        </w:tc>
      </w:tr>
    </w:tbl>
    <w:p/>
    <w:p>
      <w:pPr>
        <w:pStyle w:val="Heading2"/>
      </w:pPr>
      <w:r>
        <w:rPr>
          <w:b w:val="0"/>
        </w:rPr>
        <w:t>Основные интервалы для инженерной проверки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290"/>
          </w:tcPr>
          <w:p>
            <w:r>
              <w:rPr>
                <w:b/>
              </w:rPr>
              <w:t>От</w:t>
            </w:r>
          </w:p>
        </w:tc>
        <w:tc>
          <w:tcPr>
            <w:tcW w:type="dxa" w:w="1290"/>
          </w:tcPr>
          <w:p>
            <w:r>
              <w:rPr>
                <w:b/>
              </w:rPr>
              <w:t>До</w:t>
            </w:r>
          </w:p>
        </w:tc>
        <w:tc>
          <w:tcPr>
            <w:tcW w:type="dxa" w:w="1290"/>
          </w:tcPr>
          <w:p>
            <w:r>
              <w:rPr>
                <w:b/>
              </w:rPr>
              <w:t>Мощность</w:t>
            </w:r>
          </w:p>
        </w:tc>
        <w:tc>
          <w:tcPr>
            <w:tcW w:type="dxa" w:w="129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290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1290"/>
          </w:tcPr>
          <w:p>
            <w:r>
              <w:rPr>
                <w:b/>
              </w:rPr>
              <w:t>Достоверность</w:t>
            </w:r>
          </w:p>
        </w:tc>
        <w:tc>
          <w:tcPr>
            <w:tcW w:type="dxa" w:w="1290"/>
          </w:tcPr>
          <w:p>
            <w:r>
              <w:rPr>
                <w:b/>
              </w:rPr>
              <w:t>Заключение</w:t>
            </w:r>
          </w:p>
        </w:tc>
      </w:tr>
      <w:tr>
        <w:tc>
          <w:tcPr>
            <w:tcW w:type="dxa" w:w="1290"/>
            <w:vAlign w:val="top"/>
          </w:tcPr>
          <w:p>
            <w:r>
              <w:t>1</w:t>
            </w:r>
          </w:p>
        </w:tc>
        <w:tc>
          <w:tcPr>
            <w:tcW w:type="dxa" w:w="1290"/>
            <w:vAlign w:val="top"/>
          </w:tcPr>
          <w:p>
            <w:r>
              <w:t>2148.2</w:t>
            </w:r>
          </w:p>
        </w:tc>
        <w:tc>
          <w:tcPr>
            <w:tcW w:type="dxa" w:w="1290"/>
            <w:vAlign w:val="top"/>
          </w:tcPr>
          <w:p>
            <w:r>
              <w:t>2156</w:t>
            </w:r>
          </w:p>
        </w:tc>
        <w:tc>
          <w:tcPr>
            <w:tcW w:type="dxa" w:w="1290"/>
            <w:vAlign w:val="top"/>
          </w:tcPr>
          <w:p>
            <w:r>
              <w:t>7.8</w:t>
            </w:r>
          </w:p>
        </w:tc>
        <w:tc>
          <w:tcPr>
            <w:tcW w:type="dxa" w:w="1290"/>
            <w:vAlign w:val="top"/>
          </w:tcPr>
          <w:p>
            <w:r>
              <w:t>Газовый интервал</w:t>
            </w:r>
          </w:p>
        </w:tc>
        <w:tc>
          <w:tcPr>
            <w:tcW w:type="dxa" w:w="1290"/>
            <w:vAlign w:val="top"/>
          </w:tcPr>
          <w:p>
            <w:r>
              <w:t>высокая</w:t>
            </w:r>
          </w:p>
        </w:tc>
        <w:tc>
          <w:tcPr>
            <w:tcW w:type="dxa" w:w="1290"/>
            <w:vAlign w:val="top"/>
          </w:tcPr>
          <w:p>
            <w:r>
              <w:t>92%</w:t>
            </w:r>
          </w:p>
        </w:tc>
        <w:tc>
          <w:tcPr>
            <w:tcW w:type="dxa" w:w="1290"/>
            <w:vAlign w:val="top"/>
          </w:tcPr>
          <w:p>
            <w:r>
              <w:t>Признаки соответствуют вероятному газовый коллектору; уровень решения: высокая достоверность.</w:t>
            </w:r>
          </w:p>
        </w:tc>
      </w:tr>
    </w:tbl>
    <w:p/>
    <w:p>
      <w:pPr>
        <w:pStyle w:val="Heading2"/>
      </w:pPr>
      <w:r>
        <w:rPr>
          <w:b w:val="0"/>
        </w:rPr>
        <w:t>Рекомендации и ограничения интерпретации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60"/>
        <w:gridCol w:w="5160"/>
      </w:tblGrid>
      <w:tr>
        <w:tc>
          <w:tcPr>
            <w:tcW w:type="dxa" w:w="516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516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5160"/>
            <w:vAlign w:val="top"/>
          </w:tcPr>
          <w:p>
            <w:r>
              <w:t>Рекомендация</w:t>
            </w:r>
          </w:p>
        </w:tc>
        <w:tc>
          <w:tcPr>
            <w:tcW w:type="dxa" w:w="5160"/>
            <w:vAlign w:val="top"/>
          </w:tcPr>
          <w:p>
            <w:r>
              <w:t>Проверить по ГИС, литологии, испытаниям и буровому контексту перед окончательным выводом.</w:t>
            </w:r>
          </w:p>
        </w:tc>
      </w:tr>
      <w:tr>
        <w:tc>
          <w:tcPr>
            <w:tcW w:type="dxa" w:w="5160"/>
            <w:vAlign w:val="top"/>
          </w:tcPr>
          <w:p>
            <w:r>
              <w:t>Рекомендация</w:t>
            </w:r>
          </w:p>
        </w:tc>
        <w:tc>
          <w:tcPr>
            <w:tcW w:type="dxa" w:w="5160"/>
            <w:vAlign w:val="top"/>
          </w:tcPr>
          <w:p>
            <w:r>
              <w:t>Рассмотреть интервал как приоритетный объект для детального геолого-геофизического анализа.</w:t>
            </w:r>
          </w:p>
        </w:tc>
      </w:tr>
      <w:tr>
        <w:tc>
          <w:tcPr>
            <w:tcW w:type="dxa" w:w="5160"/>
            <w:vAlign w:val="top"/>
          </w:tcPr>
          <w:p>
            <w:r>
              <w:t>Ограничение</w:t>
            </w:r>
          </w:p>
        </w:tc>
        <w:tc>
          <w:tcPr>
            <w:tcW w:type="dxa" w:w="5160"/>
            <w:vAlign w:val="top"/>
          </w:tcPr>
          <w:p>
            <w:r>
              <w:t>Интерпретация остается предварительной и требует сопоставления с ГИС, керном, испытаниями и буровым контекстом.</w:t>
            </w:r>
          </w:p>
        </w:tc>
      </w:tr>
    </w:tbl>
    <w:p/>
    <w:p>
      <w:pPr>
        <w:pStyle w:val="Heading2"/>
      </w:pPr>
      <w:r>
        <w:rPr>
          <w:b w:val="0"/>
        </w:rPr>
        <w:t>Карточки интервалов залежей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</w:rPr>
              <w:t>№</w:t>
            </w:r>
          </w:p>
        </w:tc>
        <w:tc>
          <w:tcPr>
            <w:tcW w:type="dxa" w:w="1474"/>
          </w:tcPr>
          <w:p>
            <w:r>
              <w:rPr>
                <w:b/>
              </w:rPr>
              <w:t>Интервал</w:t>
            </w:r>
          </w:p>
        </w:tc>
        <w:tc>
          <w:tcPr>
            <w:tcW w:type="dxa" w:w="1474"/>
          </w:tcPr>
          <w:p>
            <w:r>
              <w:rPr>
                <w:b/>
              </w:rPr>
              <w:t>Мощность</w:t>
            </w:r>
          </w:p>
        </w:tc>
        <w:tc>
          <w:tcPr>
            <w:tcW w:type="dxa" w:w="1474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1474"/>
          </w:tcPr>
          <w:p>
            <w:r>
              <w:rPr>
                <w:b/>
              </w:rPr>
              <w:t>Уровень</w:t>
            </w:r>
          </w:p>
        </w:tc>
        <w:tc>
          <w:tcPr>
            <w:tcW w:type="dxa" w:w="1474"/>
          </w:tcPr>
          <w:p>
            <w:r>
              <w:rPr>
                <w:b/>
              </w:rPr>
              <w:t>Достоверность</w:t>
            </w:r>
          </w:p>
        </w:tc>
        <w:tc>
          <w:tcPr>
            <w:tcW w:type="dxa" w:w="1474"/>
          </w:tcPr>
          <w:p>
            <w:r>
              <w:rPr>
                <w:b/>
              </w:rPr>
              <w:t>Заключение</w:t>
            </w:r>
          </w:p>
        </w:tc>
      </w:tr>
      <w:tr>
        <w:tc>
          <w:tcPr>
            <w:tcW w:type="dxa" w:w="1474"/>
            <w:vAlign w:val="top"/>
          </w:tcPr>
          <w:p>
            <w:r>
              <w:t>HC-001</w:t>
            </w:r>
          </w:p>
        </w:tc>
        <w:tc>
          <w:tcPr>
            <w:tcW w:type="dxa" w:w="1474"/>
            <w:vAlign w:val="top"/>
          </w:tcPr>
          <w:p>
            <w:r>
              <w:t>2148.2–2156 м</w:t>
            </w:r>
          </w:p>
        </w:tc>
        <w:tc>
          <w:tcPr>
            <w:tcW w:type="dxa" w:w="1474"/>
            <w:vAlign w:val="top"/>
          </w:tcPr>
          <w:p>
            <w:r>
              <w:t>7.8 м</w:t>
            </w:r>
          </w:p>
        </w:tc>
        <w:tc>
          <w:tcPr>
            <w:tcW w:type="dxa" w:w="1474"/>
            <w:vAlign w:val="top"/>
          </w:tcPr>
          <w:p>
            <w:r>
              <w:t>Газовый интервал</w:t>
            </w:r>
          </w:p>
        </w:tc>
        <w:tc>
          <w:tcPr>
            <w:tcW w:type="dxa" w:w="1474"/>
            <w:vAlign w:val="top"/>
          </w:tcPr>
          <w:p>
            <w:r>
              <w:t>высокая</w:t>
            </w:r>
          </w:p>
        </w:tc>
        <w:tc>
          <w:tcPr>
            <w:tcW w:type="dxa" w:w="1474"/>
            <w:vAlign w:val="top"/>
          </w:tcPr>
          <w:p>
            <w:r>
              <w:t>92% (данные 92%, геология 81%)</w:t>
            </w:r>
          </w:p>
        </w:tc>
        <w:tc>
          <w:tcPr>
            <w:tcW w:type="dxa" w:w="1474"/>
            <w:vAlign w:val="top"/>
          </w:tcPr>
          <w:p>
            <w:r>
              <w:t>Признаки соответствуют вероятному газовый коллектору; уровень решения: высокая достоверность.</w:t>
            </w:r>
          </w:p>
        </w:tc>
      </w:tr>
    </w:tbl>
    <w:p/>
    <w:p>
      <w:pPr>
        <w:pStyle w:val="Heading2"/>
      </w:pPr>
      <w:r>
        <w:rPr>
          <w:b w:val="0"/>
        </w:rPr>
        <w:t>Обоснование интерпретации по интервалам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</w:tblGrid>
      <w:tr>
        <w:tc>
          <w:tcPr>
            <w:tcW w:type="dxa" w:w="2580"/>
          </w:tcPr>
          <w:p>
            <w:r>
              <w:rPr>
                <w:b/>
              </w:rPr>
              <w:t>Интервал</w:t>
            </w:r>
          </w:p>
        </w:tc>
        <w:tc>
          <w:tcPr>
            <w:tcW w:type="dxa" w:w="2580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2580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2580"/>
          </w:tcPr>
          <w:p>
            <w:r>
              <w:rPr>
                <w:b/>
              </w:rPr>
              <w:t>Краткий вывод</w:t>
            </w:r>
          </w:p>
        </w:tc>
      </w:tr>
      <w:tr>
        <w:tc>
          <w:tcPr>
            <w:tcW w:type="dxa" w:w="2580"/>
            <w:vAlign w:val="top"/>
          </w:tcPr>
          <w:p>
            <w:r>
              <w:t>HC-001</w:t>
            </w:r>
          </w:p>
        </w:tc>
        <w:tc>
          <w:tcPr>
            <w:tcW w:type="dxa" w:w="2580"/>
            <w:vAlign w:val="top"/>
          </w:tcPr>
          <w:p>
            <w:r>
              <w:t>Основания</w:t>
            </w:r>
          </w:p>
        </w:tc>
        <w:tc>
          <w:tcPr>
            <w:tcW w:type="dxa" w:w="2580"/>
            <w:vAlign w:val="top"/>
          </w:tcPr>
          <w:p>
            <w:r>
              <w:t>Интервал 2148.2-2156 м, мощность 7.8 м.</w:t>
              <w:br/>
              <w:t>Data confidence: 92%; geological confidence: 81%.</w:t>
              <w:br/>
              <w:t>Вероятный газонасыщенный интервал высокой достоверности.</w:t>
              <w:br/>
              <w:t>Литологический контекст: Sandstone.</w:t>
              <w:br/>
              <w:t>Тренд газовых признаков: increasing.</w:t>
            </w:r>
          </w:p>
        </w:tc>
        <w:tc>
          <w:tcPr>
            <w:tcW w:type="dxa" w:w="2580"/>
            <w:vAlign w:val="top"/>
          </w:tcPr>
          <w:p>
            <w:r>
              <w:t>Признаки соответствуют вероятному газовый коллектору; уровень решения: высокая достоверность.</w:t>
            </w:r>
          </w:p>
        </w:tc>
      </w:tr>
      <w:tr>
        <w:tc>
          <w:tcPr>
            <w:tcW w:type="dxa" w:w="2580"/>
            <w:vAlign w:val="top"/>
          </w:tcPr>
          <w:p>
            <w:r>
              <w:t>HC-001</w:t>
            </w:r>
          </w:p>
        </w:tc>
        <w:tc>
          <w:tcPr>
            <w:tcW w:type="dxa" w:w="2580"/>
            <w:vAlign w:val="top"/>
          </w:tcPr>
          <w:p>
            <w:r>
              <w:t>Рекомендации</w:t>
            </w:r>
          </w:p>
        </w:tc>
        <w:tc>
          <w:tcPr>
            <w:tcW w:type="dxa" w:w="2580"/>
            <w:vAlign w:val="top"/>
          </w:tcPr>
          <w:p>
            <w:r>
              <w:t>Проверить по ГИС, литологии, испытаниям и буровому контексту перед окончательным выводом.</w:t>
              <w:br/>
              <w:t>Рассмотреть интервал как приоритетный объект для детального геолого-геофизического анализа.</w:t>
            </w:r>
          </w:p>
        </w:tc>
        <w:tc>
          <w:tcPr>
            <w:tcW w:type="dxa" w:w="2580"/>
            <w:vAlign w:val="top"/>
          </w:tcPr>
          <w:p>
            <w:r/>
          </w:p>
        </w:tc>
      </w:tr>
      <w:tr>
        <w:tc>
          <w:tcPr>
            <w:tcW w:type="dxa" w:w="2580"/>
            <w:vAlign w:val="top"/>
          </w:tcPr>
          <w:p>
            <w:r>
              <w:t>HC-001</w:t>
            </w:r>
          </w:p>
        </w:tc>
        <w:tc>
          <w:tcPr>
            <w:tcW w:type="dxa" w:w="2580"/>
            <w:vAlign w:val="top"/>
          </w:tcPr>
          <w:p>
            <w:r>
              <w:t>Ограничения</w:t>
            </w:r>
          </w:p>
        </w:tc>
        <w:tc>
          <w:tcPr>
            <w:tcW w:type="dxa" w:w="2580"/>
            <w:vAlign w:val="top"/>
          </w:tcPr>
          <w:p>
            <w:r>
              <w:t>Интерпретация остается предварительной и требует сопоставления с ГИС, керном, испытаниями и буровым контекстом.</w:t>
            </w:r>
          </w:p>
        </w:tc>
        <w:tc>
          <w:tcPr>
            <w:tcW w:type="dxa" w:w="2580"/>
            <w:vAlign w:val="top"/>
          </w:tcPr>
          <w:p>
            <w:r/>
          </w:p>
        </w:tc>
      </w:tr>
    </w:tbl>
    <w:p/>
    <w:p>
      <w:pPr>
        <w:pStyle w:val="Heading1"/>
      </w:pPr>
      <w:r>
        <w:rPr>
          <w:b w:val="0"/>
        </w:rPr>
        <w:t>Техническое приложение</w:t>
      </w:r>
    </w:p>
    <w:p>
      <w:pPr>
        <w:pStyle w:val="Heading2"/>
      </w:pPr>
      <w:r>
        <w:rPr>
          <w:b w:val="0"/>
        </w:rPr>
        <w:t>Техническое приложение</w:t>
      </w:r>
    </w:p>
    <w:p>
      <w:pPr>
        <w:ind w:left="216"/>
      </w:pPr>
      <w:r>
        <w:rPr>
          <w:i/>
        </w:rPr>
        <w:t>Полные расчетные таблицы, диагностика, предупреждения качества данных и служебные сведения доступны в экспертном профиле отчета. Инженерный профиль намеренно показывает сначала выводы, интервалы, достоверность, рекомендации и ограничения.</w:t>
      </w:r>
    </w:p>
    <w:p/>
    <w:sectPr w:rsidR="00FC693F" w:rsidRPr="0006063C" w:rsidSect="00034616">
      <w:pgSz w:w="11909" w:h="16834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