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F1712">
        <w:rPr>
          <w:rFonts w:ascii="Times New Roman" w:hAnsi="Times New Roman" w:cs="Times New Roman"/>
          <w:b/>
          <w:sz w:val="24"/>
          <w:szCs w:val="24"/>
        </w:rPr>
        <w:t>Тема: 11 Организация учёта основных средств.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Справочник «Фиксированные активы». Расчет сумм  амортизации (износа) и ведение аналитического учёта по отдельным объектам на счетах.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Учет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Ведение списка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"Для ведения списка фиксированных активов, находящихся в организации, предназначен справочник ""Фиксированные активы".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Справочники для начисления налогов по ФА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начисления налогов, зависящих от качественного состава фиксированных активов можно использовать соответствующие справочники и регламентный документ "Расчет налогов"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Объекты земельного налога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"Объекты земельного налога" предназначен для ведения списка объектов, по которым производится расчет земельного налога и используется для процедуры расчета, выполняемой регламентным документом "Расчет налогов".</w:t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Объекты имущественного налога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"Объекты имущественного налога" предназначен для ведения списка объектов, по которым производится расчет имущественного налога и используется для процедуры расчета, выполняемой регламентным документом "Расчет налогов".</w:t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Объекты транспортного налога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Справочник "Объекты транспортного налога" предназначен для ведения списка объектов, по которым производится расчет транспортного налога и используется для процедуры расчета, выполняемой регламентным документом "Расчет налогов".</w:t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Расчет налогов по объектам ФА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расчета налогов по объектам фиксированных активов можно использовать документ "Расчет налогов" типовой конфигурации.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Документы для отражения операций по движению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Операции по движению фиксированных активов вы можете вводить вручную или использовать для этих целей документы типовой конфигурации.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просмотра документов, связанных с учетом фиксированных активов, используется журнал "Учет фиксированных активов".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Поступление объектов ФА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получения фиксированных активов у поставщика сотруднику организации необходимо выписать доверенность. Это можно сделать с помощью документа "Доверенность" типовой конфигурации.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 отражения в учете операций по поступлению в организацию фиксированных активов, приобретенных за плату, предназначен документ "Накладная на приход фиксированных активов". Реквизиты документа заполняются в соответствии с накладной поставщика.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Предъявление поставщиком счета-фактуры в типовой конфигурации может быть отражено непосредственно в документе поступления или отдельно документом "Счет-фактура поставщика".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  <w:t>Документ "Счет-фактура поставщика" удобно вводить на основании документа "Накладная на приход фиксированных активов". Для этого необходимо в журнале "Учет фиксированных активов" найти документ-основание и выбрать пункт "Ввести на основании" из меню "Действия".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Ввод фиксированных активов в эксплуатацию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"Фиксированные активы, приобретенные за плату, поступившие в организацию в виде вкладов в уставный  капитал, полученные безвозмездно или путем обмена, зачисляются на баланс с помощью документа ""Акт приемки-передачи фиксированных активов"".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lastRenderedPageBreak/>
        <w:t>Документ позволяет оформить акт приемки-передачи фиксированных активов по форме ОС-1."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Перемещение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Для отражения в учете операций, связанных с передачей ФА из одного подразделения в другое,  служит документ "Накладная на перемещение фиксированных активов".  Документ позволяет оформить акт приемки-передачи фиксированных активов по форме ОС-1.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Переоценка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 xml:space="preserve">При переоценке фиксированных активов следует использовать документ "Переоценка фиксированных активов". 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Списание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При выбытии фиксированных активов в связи с моральным и физическим износом, а также при ликвидации следует использовать документ "Акт на списание фиксированных активов".  Документ позволяет оформить акт на списание по форме ОС-4.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Продажа фиксированных активов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 xml:space="preserve">"При продаже фиксированных активов используется документ "" Накладная на расход фиксированных активов на сторону"". 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Документ позволяет оформить акт приемки-передачи фиксированных активов по форме ОС-1."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"На основании документа ""Накладная на расход фиксированных активов на сторону"" можно оформить счет-фактуру для передачи покупателю. Для этого необходимо в журнале ""Учет фиксированных активов"" найти документ-основание и выбрать пункт ""Ввести на основании"" из меню ""Действия".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 xml:space="preserve">Ввод вручную операций по учету фиксированных активов 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При вводе операций вручную вы должны самостоятельно указать необходимую корреспонденцию счетов, выбрать объекты аналитического учета, ввести суммы проводок.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1712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3F1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712">
        <w:rPr>
          <w:rFonts w:ascii="Times New Roman" w:hAnsi="Times New Roman" w:cs="Times New Roman"/>
          <w:sz w:val="24"/>
          <w:szCs w:val="24"/>
        </w:rPr>
        <w:t>получение</w:t>
      </w:r>
      <w:proofErr w:type="gramEnd"/>
      <w:r w:rsidRPr="003F1712">
        <w:rPr>
          <w:rFonts w:ascii="Times New Roman" w:hAnsi="Times New Roman" w:cs="Times New Roman"/>
          <w:sz w:val="24"/>
          <w:szCs w:val="24"/>
        </w:rPr>
        <w:t xml:space="preserve"> итоговых и детальных данных по учету фиксированных активов</w:t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можно использовать стандартные и специализированные отчеты</w:t>
      </w:r>
      <w:proofErr w:type="gramStart"/>
      <w:r w:rsidRPr="003F1712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>Специализированный отчет "Ведомость начисления амортизации по ФА" содержит данные об изменении балансовой и остаточной стоимости фиксированных активов, а также суммы начисленной амортизации.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"Анализ </w:t>
      </w:r>
      <w:proofErr w:type="spellStart"/>
      <w:r w:rsidRPr="003F1712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3F1712">
        <w:rPr>
          <w:rFonts w:ascii="Times New Roman" w:hAnsi="Times New Roman" w:cs="Times New Roman"/>
          <w:sz w:val="24"/>
          <w:szCs w:val="24"/>
        </w:rPr>
        <w:t xml:space="preserve">" может быть использован для просмотра остатков и оборотов по счетам, на которых ведется аналитический учет по </w:t>
      </w:r>
      <w:proofErr w:type="spellStart"/>
      <w:r w:rsidRPr="003F1712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3F1712">
        <w:rPr>
          <w:rFonts w:ascii="Times New Roman" w:hAnsi="Times New Roman" w:cs="Times New Roman"/>
          <w:sz w:val="24"/>
          <w:szCs w:val="24"/>
        </w:rPr>
        <w:t xml:space="preserve"> "Фиксированные активы".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3F1712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"Карточка </w:t>
      </w:r>
      <w:proofErr w:type="spellStart"/>
      <w:r w:rsidRPr="003F1712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3F1712">
        <w:rPr>
          <w:rFonts w:ascii="Times New Roman" w:hAnsi="Times New Roman" w:cs="Times New Roman"/>
          <w:sz w:val="24"/>
          <w:szCs w:val="24"/>
        </w:rPr>
        <w:t>" может быть использован для просмотра движений по конкретным фиксированным активам.</w:t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  <w:r w:rsidRPr="003F1712">
        <w:rPr>
          <w:rFonts w:ascii="Times New Roman" w:hAnsi="Times New Roman" w:cs="Times New Roman"/>
          <w:sz w:val="24"/>
          <w:szCs w:val="24"/>
        </w:rPr>
        <w:tab/>
      </w:r>
    </w:p>
    <w:p w:rsidR="008859B5" w:rsidRPr="003F1712" w:rsidRDefault="003F1712" w:rsidP="003F171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1712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"Отчет по проводкам" может быть использован для получения проводок по тем счетам, по которым ведется аналитический учет по </w:t>
      </w:r>
      <w:proofErr w:type="spellStart"/>
      <w:r w:rsidRPr="003F1712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3F1712">
        <w:rPr>
          <w:rFonts w:ascii="Times New Roman" w:hAnsi="Times New Roman" w:cs="Times New Roman"/>
          <w:sz w:val="24"/>
          <w:szCs w:val="24"/>
        </w:rPr>
        <w:t xml:space="preserve"> "Фиксированные активы".</w:t>
      </w:r>
    </w:p>
    <w:sectPr w:rsidR="008859B5" w:rsidRPr="003F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F1712"/>
    <w:rsid w:val="003F1712"/>
    <w:rsid w:val="0088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4740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2022-01-24T11:28:00Z</dcterms:created>
  <dcterms:modified xsi:type="dcterms:W3CDTF">2022-01-24T11:28:00Z</dcterms:modified>
</cp:coreProperties>
</file>