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BDE7" w14:textId="02AFD0F5" w:rsidR="005B1422" w:rsidRPr="007B5172" w:rsidRDefault="005B1422" w:rsidP="005B1422">
      <w:pPr>
        <w:pStyle w:val="a4"/>
        <w:spacing w:after="0" w:line="360" w:lineRule="auto"/>
        <w:ind w:left="0" w:firstLine="851"/>
        <w:jc w:val="both"/>
        <w:rPr>
          <w:rFonts w:ascii="Times New Roman" w:eastAsia="PMingLiU" w:hAnsi="Times New Roman" w:cs="Times New Roman"/>
          <w:b/>
          <w:bCs/>
          <w:sz w:val="24"/>
        </w:rPr>
      </w:pPr>
      <w:r w:rsidRPr="007B5172"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DD5899">
        <w:rPr>
          <w:rFonts w:ascii="Times New Roman" w:hAnsi="Times New Roman" w:cs="Times New Roman"/>
          <w:b/>
          <w:sz w:val="24"/>
        </w:rPr>
        <w:t>8</w:t>
      </w:r>
      <w:r w:rsidRPr="007B5172">
        <w:rPr>
          <w:rFonts w:ascii="Times New Roman" w:hAnsi="Times New Roman" w:cs="Times New Roman"/>
          <w:b/>
          <w:sz w:val="24"/>
        </w:rPr>
        <w:t xml:space="preserve">. </w:t>
      </w:r>
      <w:r w:rsidRPr="007B5172">
        <w:rPr>
          <w:rFonts w:ascii="Times New Roman" w:eastAsia="PMingLiU" w:hAnsi="Times New Roman" w:cs="Times New Roman"/>
          <w:b/>
          <w:bCs/>
          <w:sz w:val="24"/>
        </w:rPr>
        <w:t xml:space="preserve"> Разработка перечня артефактов</w:t>
      </w:r>
    </w:p>
    <w:p w14:paraId="7669051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интерфейса программы и навыков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остроения диаграммы прецедентов, разработка перечня артефоктов.</w:t>
      </w:r>
    </w:p>
    <w:p w14:paraId="35F5D3DF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среда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CDDD9E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1EBBB471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220615D0" w14:textId="77777777" w:rsidR="005B1422" w:rsidRPr="0071750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hAnsi="Times New Roman" w:cs="Times New Roman"/>
          <w:b/>
          <w:bCs/>
          <w:sz w:val="24"/>
          <w:szCs w:val="24"/>
        </w:rPr>
        <w:t xml:space="preserve">Определить внешних исполнителей </w:t>
      </w:r>
      <w:r w:rsidRPr="00717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(контрагентов компании) </w:t>
      </w:r>
    </w:p>
    <w:p w14:paraId="5E7FA055" w14:textId="77777777" w:rsidR="005B1422" w:rsidRPr="007B517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Построить диаграмму </w:t>
      </w:r>
      <w:r w:rsidRPr="00641D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6136B990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79BD9B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586B933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ИС включает в себя несколько этапов. Однако начальным этапом создания системы всегда является изучение, анализ и моделирование бизнес-деятельности организации. На этом этапе вводится и отображается в модели ряд понятий, свойственных объектно-ориентированному подходу:</w:t>
      </w:r>
    </w:p>
    <w:p w14:paraId="31FA74E6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Исполнитель (Действующее лицо, Actor) – личность, организация или система, взаимодействующая с ИС; различают внешнего исполнителя (который использует или используется системой, </w:t>
      </w:r>
      <w:proofErr w:type="gramStart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т.е.</w:t>
      </w:r>
      <w:proofErr w:type="gramEnd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порождает прецеденты деятельности) и внутреннего исполнителя (который обеспечивает реализацию прецедентов деятельности внутри системы). На диаграмме исполнитель представляется стилизованной фигуркой человека.</w:t>
      </w:r>
    </w:p>
    <w:p w14:paraId="70637AF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того чтобы описать взаимодействие компании на верхнем уровне с внешними контрагентами, сначала необходимо выяснить, кто (или что) является внешними контрагентами и какие у них основные функции. Для получения ответов на эти вопросы в наглядной форме средствами UML можно составить диаграмму, которую условно назовем «физической», отличающуюся от диаграммы прецедентов (Use Case Diagram) отсутствием прецедентов, наличием только внешних (по отношению к компании) исполнителей (контрагентов) и наименований функций. </w:t>
      </w:r>
    </w:p>
    <w:p w14:paraId="33702BC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14CE615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2E239D94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Краткое описание предметной области</w:t>
      </w:r>
    </w:p>
    <w:p w14:paraId="27610A9D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Компания - дистрибьютор ЗАО "МЕД"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товаров, как собственным транспортом, так и с помощью услуг сторонних организаций.</w:t>
      </w:r>
    </w:p>
    <w:p w14:paraId="50E0E653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Оргструктура предприятия оптовой торговли ЗАО "МЕД" имеет следующий вид:</w:t>
      </w:r>
    </w:p>
    <w:p w14:paraId="5EF0EE5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6CCA1931" wp14:editId="20354BF6">
            <wp:extent cx="4543425" cy="3419475"/>
            <wp:effectExtent l="19050" t="0" r="9525" b="0"/>
            <wp:docPr id="42" name="Рисунок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3966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Основные цели автоматизации компании "МЕД":</w:t>
      </w:r>
    </w:p>
    <w:p w14:paraId="2ADDECB9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Разработка и внедрение комплексной автоматизированной системы поддержки логистических процессов компании. </w:t>
      </w:r>
    </w:p>
    <w:p w14:paraId="1ECF3FFD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14:paraId="0FD68B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Основные бизнес-процессы компании - закупки, складирование запасов, продажи, взаиморасчеты с поставщиками и клиентами. </w:t>
      </w:r>
    </w:p>
    <w:p w14:paraId="34A05546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Ключевые функциональные требования к информационной системе:</w:t>
      </w:r>
    </w:p>
    <w:p w14:paraId="05F42E1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запасами. Оперативное получение информации об остатках на складе. </w:t>
      </w:r>
    </w:p>
    <w:p w14:paraId="0398925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закупками. Планирование закупок в разрезе поставщиков. </w:t>
      </w:r>
    </w:p>
    <w:p w14:paraId="0F326AEC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>Управление продажами. Контроль лими</w:t>
      </w:r>
      <w:r>
        <w:rPr>
          <w:bCs/>
        </w:rPr>
        <w:t xml:space="preserve">та задолженности с возможностью </w:t>
      </w:r>
      <w:r w:rsidRPr="00717502">
        <w:rPr>
          <w:bCs/>
        </w:rPr>
        <w:t xml:space="preserve">блокировки формирования отгрузочных документов. </w:t>
      </w:r>
    </w:p>
    <w:p w14:paraId="1C3CA160" w14:textId="77777777" w:rsidR="005B1422" w:rsidRPr="00717502" w:rsidRDefault="005B1422" w:rsidP="005B142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Полный контроль взаиморасчетов с поставщиками и клиентами. </w:t>
      </w:r>
    </w:p>
    <w:p w14:paraId="5D0797D8" w14:textId="77777777" w:rsidR="005B1422" w:rsidRPr="00717502" w:rsidRDefault="005B1422" w:rsidP="005B1422">
      <w:pPr>
        <w:pStyle w:val="a3"/>
        <w:numPr>
          <w:ilvl w:val="0"/>
          <w:numId w:val="5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подразделений, и директоров фирмы.</w:t>
      </w:r>
    </w:p>
    <w:p w14:paraId="07592D9D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Ограничения предметной области</w:t>
      </w:r>
    </w:p>
    <w:p w14:paraId="033781FB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рамках проекта не рассматривается автоматизация учета основных средств, расчета и начисления заработной платы, управления кадрами. Развертывание новой системы предполагается осуществить только в следующих подразделениях ЗАО "МЕД": </w:t>
      </w:r>
    </w:p>
    <w:p w14:paraId="03823887" w14:textId="77777777" w:rsidR="005B1422" w:rsidRPr="00717502" w:rsidRDefault="005B1422" w:rsidP="005B1422">
      <w:pPr>
        <w:pStyle w:val="a3"/>
        <w:numPr>
          <w:ilvl w:val="0"/>
          <w:numId w:val="4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Отдел закупок; </w:t>
      </w:r>
    </w:p>
    <w:p w14:paraId="35BF4B51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приемки; </w:t>
      </w:r>
    </w:p>
    <w:p w14:paraId="06B93CB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продаж; </w:t>
      </w:r>
    </w:p>
    <w:p w14:paraId="0B5AB197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маркетинга; </w:t>
      </w:r>
    </w:p>
    <w:p w14:paraId="315BAC6C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Группа планирования и маркетинга; </w:t>
      </w:r>
    </w:p>
    <w:p w14:paraId="24F2786A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lastRenderedPageBreak/>
        <w:t xml:space="preserve">Группа логистики; </w:t>
      </w:r>
    </w:p>
    <w:p w14:paraId="0502316F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Учетно-операционный отдел; </w:t>
      </w:r>
    </w:p>
    <w:p w14:paraId="402F284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Учетный отдел; </w:t>
      </w:r>
    </w:p>
    <w:p w14:paraId="6C28BAB4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сертификации (в части учета сертификатов на медикаменты); </w:t>
      </w:r>
    </w:p>
    <w:p w14:paraId="718F6AD9" w14:textId="77777777" w:rsidR="005B1422" w:rsidRPr="00717502" w:rsidRDefault="005B1422" w:rsidP="005B1422">
      <w:pPr>
        <w:pStyle w:val="a3"/>
        <w:numPr>
          <w:ilvl w:val="0"/>
          <w:numId w:val="4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Бухгалтерия (только в части учета закупок, продаж, поступлений и платежей).</w:t>
      </w:r>
    </w:p>
    <w:p w14:paraId="2602F08F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Описание состава автоматизируемых бизнес-процессов</w:t>
      </w:r>
    </w:p>
    <w:p w14:paraId="59D35CD0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Бизнес-процессы компании, подлежащие автоматизации, приведены в следующей таблице: </w:t>
      </w:r>
    </w:p>
    <w:tbl>
      <w:tblPr>
        <w:tblW w:w="67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4"/>
        <w:gridCol w:w="1651"/>
        <w:gridCol w:w="3869"/>
      </w:tblGrid>
      <w:tr w:rsidR="005B1422" w:rsidRPr="00717502" w14:paraId="073C83C7" w14:textId="77777777" w:rsidTr="00F752DC">
        <w:trPr>
          <w:tblCellSpacing w:w="7" w:type="dxa"/>
        </w:trPr>
        <w:tc>
          <w:tcPr>
            <w:tcW w:w="753" w:type="dxa"/>
            <w:shd w:val="clear" w:color="auto" w:fill="D8D8D8"/>
            <w:vAlign w:val="center"/>
          </w:tcPr>
          <w:p w14:paraId="1C9C809D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 xml:space="preserve">№ </w:t>
            </w:r>
            <w:proofErr w:type="gramStart"/>
            <w:r w:rsidRPr="00717502">
              <w:rPr>
                <w:b/>
                <w:bCs/>
              </w:rPr>
              <w:t>п.п</w:t>
            </w:r>
            <w:proofErr w:type="gramEnd"/>
          </w:p>
        </w:tc>
        <w:tc>
          <w:tcPr>
            <w:tcW w:w="1246" w:type="dxa"/>
            <w:shd w:val="clear" w:color="auto" w:fill="D8D8D8"/>
            <w:vAlign w:val="center"/>
          </w:tcPr>
          <w:p w14:paraId="3AFED3D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jc w:val="both"/>
              <w:rPr>
                <w:b/>
                <w:bCs/>
              </w:rPr>
            </w:pPr>
            <w:r w:rsidRPr="00717502">
              <w:rPr>
                <w:b/>
                <w:bCs/>
              </w:rPr>
              <w:t>Код бизнес-процесса</w:t>
            </w:r>
          </w:p>
        </w:tc>
        <w:tc>
          <w:tcPr>
            <w:tcW w:w="4659" w:type="dxa"/>
            <w:shd w:val="clear" w:color="auto" w:fill="D8D8D8"/>
            <w:vAlign w:val="center"/>
          </w:tcPr>
          <w:p w14:paraId="5D11998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>Наименование бизнес-процесса</w:t>
            </w:r>
          </w:p>
        </w:tc>
      </w:tr>
      <w:tr w:rsidR="005B1422" w:rsidRPr="00717502" w14:paraId="31B2633F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37981CB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1.</w:t>
            </w:r>
          </w:p>
        </w:tc>
        <w:tc>
          <w:tcPr>
            <w:tcW w:w="1246" w:type="dxa"/>
            <w:shd w:val="clear" w:color="auto" w:fill="EAEAEA"/>
          </w:tcPr>
          <w:p w14:paraId="6191A35E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Закуп-1</w:t>
            </w:r>
          </w:p>
        </w:tc>
        <w:tc>
          <w:tcPr>
            <w:tcW w:w="4659" w:type="dxa"/>
            <w:shd w:val="clear" w:color="auto" w:fill="EAEAEA"/>
          </w:tcPr>
          <w:p w14:paraId="2B352AA9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Закупки</w:t>
            </w:r>
          </w:p>
        </w:tc>
      </w:tr>
      <w:tr w:rsidR="005B1422" w:rsidRPr="00717502" w14:paraId="7EBBA7A4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2396372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2.</w:t>
            </w:r>
          </w:p>
        </w:tc>
        <w:tc>
          <w:tcPr>
            <w:tcW w:w="1246" w:type="dxa"/>
            <w:shd w:val="clear" w:color="auto" w:fill="EAEAEA"/>
          </w:tcPr>
          <w:p w14:paraId="54CF007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Склад-2</w:t>
            </w:r>
          </w:p>
        </w:tc>
        <w:tc>
          <w:tcPr>
            <w:tcW w:w="4659" w:type="dxa"/>
            <w:shd w:val="clear" w:color="auto" w:fill="EAEAEA"/>
          </w:tcPr>
          <w:p w14:paraId="2452275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Запасы-Склад</w:t>
            </w:r>
          </w:p>
        </w:tc>
      </w:tr>
      <w:tr w:rsidR="005B1422" w:rsidRPr="00717502" w14:paraId="4F769BAC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001B2E8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3.</w:t>
            </w:r>
          </w:p>
        </w:tc>
        <w:tc>
          <w:tcPr>
            <w:tcW w:w="1246" w:type="dxa"/>
            <w:shd w:val="clear" w:color="auto" w:fill="EAEAEA"/>
          </w:tcPr>
          <w:p w14:paraId="2DD48C8B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Прод-3</w:t>
            </w:r>
          </w:p>
        </w:tc>
        <w:tc>
          <w:tcPr>
            <w:tcW w:w="4659" w:type="dxa"/>
            <w:shd w:val="clear" w:color="auto" w:fill="EAEAEA"/>
          </w:tcPr>
          <w:p w14:paraId="4E207D60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Продажи</w:t>
            </w:r>
          </w:p>
        </w:tc>
      </w:tr>
      <w:tr w:rsidR="005B1422" w:rsidRPr="00717502" w14:paraId="7F0D7EA7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143F007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4.</w:t>
            </w:r>
          </w:p>
        </w:tc>
        <w:tc>
          <w:tcPr>
            <w:tcW w:w="1246" w:type="dxa"/>
            <w:shd w:val="clear" w:color="auto" w:fill="EAEAEA"/>
          </w:tcPr>
          <w:p w14:paraId="5002573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Врасч-4</w:t>
            </w:r>
          </w:p>
        </w:tc>
        <w:tc>
          <w:tcPr>
            <w:tcW w:w="4659" w:type="dxa"/>
            <w:shd w:val="clear" w:color="auto" w:fill="EAEAEA"/>
          </w:tcPr>
          <w:p w14:paraId="04D8750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Взаиморасчеты с поставщиками и клиентами</w:t>
            </w:r>
          </w:p>
        </w:tc>
      </w:tr>
    </w:tbl>
    <w:p w14:paraId="43C0BDF6" w14:textId="77777777" w:rsidR="005B1422" w:rsidRPr="0071750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rPr>
          <w:bCs/>
        </w:rPr>
      </w:pPr>
      <w:r w:rsidRPr="00717502">
        <w:rPr>
          <w:bCs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14:paraId="5444526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1) Как отмечалось в описании предметной области, компания "МЕД» осуществляет закупки у отечественных и зарубежных производителей, следовательно, контрагентами компании являются отечественные и зарубежные поставщики медикаментов. </w:t>
      </w:r>
    </w:p>
    <w:p w14:paraId="5C1ABAB8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2) Компания пользуется услугами транспортных компаний для доставки медикаментов. Следовательно, внешними контрагентами также являются транспортные компании. </w:t>
      </w:r>
    </w:p>
    <w:p w14:paraId="087A1B9C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3) Кроме того, компания реализует медикаменты через дистрибьюторскую сеть и сеть аптек. Следовательно, контрагентами компании являются покупатели (дистрибьюторы, аптеки). </w:t>
      </w:r>
    </w:p>
    <w:p w14:paraId="4F81DF53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Таким образом, внешними контрагентами компании "МЕД" являются поставщики (отечественные, зарубежные), покупатели (дистрибьюторы, аптеки) и транспортные компании. </w:t>
      </w:r>
    </w:p>
    <w:p w14:paraId="4461611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На физической диаграмме компанию изобразим прямоугольником. </w:t>
      </w:r>
    </w:p>
    <w:p w14:paraId="66D5DB49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отображения контрагентов используются графический символ Actor (фигурка человечка). </w:t>
      </w:r>
    </w:p>
    <w:p w14:paraId="354A6101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изображения взаимодействия между компанией и внешними контрагентами используются соединительные линии, поименованные для того, чтобы были понятны функции контрагентов по отношению к компании. </w:t>
      </w:r>
    </w:p>
    <w:p w14:paraId="017822E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lastRenderedPageBreak/>
        <w:t>Создание «физической» диаграммы в MS Visio:</w:t>
      </w:r>
    </w:p>
    <w:p w14:paraId="78DFD2F4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  <w:lang w:val="en-US"/>
        </w:rPr>
      </w:pPr>
      <w:r w:rsidRPr="00717502">
        <w:rPr>
          <w:bCs/>
        </w:rPr>
        <w:t>Запустите</w:t>
      </w:r>
      <w:r w:rsidRPr="00717502">
        <w:rPr>
          <w:bCs/>
          <w:lang w:val="en-US"/>
        </w:rPr>
        <w:t xml:space="preserve"> MS Visio. </w:t>
      </w:r>
    </w:p>
    <w:p w14:paraId="3DACCF15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/>
          <w:bCs/>
        </w:rPr>
      </w:pPr>
      <w:r w:rsidRPr="00717502">
        <w:rPr>
          <w:bCs/>
        </w:rPr>
        <w:t xml:space="preserve">Появится окно, в котором необходимо выбрать папку (категорию шаблонов) </w:t>
      </w:r>
      <w:r w:rsidRPr="00717502">
        <w:rPr>
          <w:b/>
          <w:bCs/>
        </w:rPr>
        <w:t xml:space="preserve">Программное обеспечение и базы данных / Схема модели UML. </w:t>
      </w:r>
    </w:p>
    <w:p w14:paraId="299121FC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В открывшемся списке форм (Фигуры) выбрать пункт </w:t>
      </w:r>
      <w:r w:rsidRPr="00717502">
        <w:rPr>
          <w:b/>
          <w:bCs/>
        </w:rPr>
        <w:t xml:space="preserve">Сценарий выполнения UML </w:t>
      </w:r>
      <w:r w:rsidRPr="00717502">
        <w:rPr>
          <w:bCs/>
        </w:rPr>
        <w:t>(</w:t>
      </w:r>
      <w:proofErr w:type="gramStart"/>
      <w:r w:rsidRPr="00717502">
        <w:rPr>
          <w:bCs/>
        </w:rPr>
        <w:t>т.е.</w:t>
      </w:r>
      <w:proofErr w:type="gramEnd"/>
      <w:r w:rsidRPr="00717502">
        <w:rPr>
          <w:bCs/>
        </w:rPr>
        <w:t xml:space="preserve"> диаграмму Use Case). </w:t>
      </w:r>
    </w:p>
    <w:p w14:paraId="3FD193B8" w14:textId="77777777" w:rsidR="005B1422" w:rsidRPr="00717502" w:rsidRDefault="005B1422" w:rsidP="005B1422">
      <w:pPr>
        <w:pStyle w:val="a3"/>
        <w:spacing w:before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результате проделанных действий на экране появится окно, в левой части которого будет отображен набор графических символов, а в правой части - лист для рисования диаграммы. Общий вид этого окна аналогичен представленному на рис.1, на котором (как и на остальных рисунках) интерфейс этого окна не русифицирован и соответствует ранним версиям MS Visio (см. </w:t>
      </w:r>
      <w:hyperlink r:id="rId6" w:anchor="image.1#image.1" w:history="1">
        <w:r w:rsidRPr="00717502">
          <w:rPr>
            <w:rStyle w:val="a5"/>
            <w:bCs/>
          </w:rPr>
          <w:t>рис.1</w:t>
        </w:r>
      </w:hyperlink>
      <w:r w:rsidRPr="00717502">
        <w:rPr>
          <w:bCs/>
        </w:rPr>
        <w:t xml:space="preserve">). </w:t>
      </w:r>
    </w:p>
    <w:p w14:paraId="661CC525" w14:textId="77777777" w:rsidR="005B1422" w:rsidRPr="00717502" w:rsidRDefault="005B1422" w:rsidP="005B1422">
      <w:pPr>
        <w:pStyle w:val="a3"/>
        <w:spacing w:beforeAutospacing="0" w:afterAutospacing="0" w:line="360" w:lineRule="auto"/>
        <w:ind w:firstLine="851"/>
        <w:contextualSpacing/>
        <w:rPr>
          <w:bCs/>
        </w:rPr>
      </w:pPr>
      <w:bookmarkStart w:id="0" w:name="image.1"/>
      <w:bookmarkEnd w:id="0"/>
      <w:r w:rsidRPr="00717502">
        <w:rPr>
          <w:bCs/>
          <w:noProof/>
        </w:rPr>
        <w:drawing>
          <wp:inline distT="0" distB="0" distL="0" distR="0" wp14:anchorId="37AFEA38" wp14:editId="72B9359D">
            <wp:extent cx="4314825" cy="3067050"/>
            <wp:effectExtent l="19050" t="0" r="9525" b="0"/>
            <wp:docPr id="43" name="Рисунок 43" descr="Общий вид окна MS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щий вид окна MS Visi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0B55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1.  Общий вид окна MS Visio </w:t>
      </w:r>
    </w:p>
    <w:p w14:paraId="13F3B57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границ компании «МЕД» выберите из набора графических элементов, представленных в левой части окна MS Visio, пиктограмму прямоугольника с надписью </w:t>
      </w:r>
      <w:r w:rsidRPr="00717502">
        <w:rPr>
          <w:b/>
          <w:bCs/>
        </w:rPr>
        <w:t>«Границы системы»</w:t>
      </w:r>
      <w:r w:rsidRPr="00717502">
        <w:rPr>
          <w:bCs/>
        </w:rPr>
        <w:t xml:space="preserve"> и переносите ее на рабочее поле мышкой при нажатой правой клавише, Отрегулируйте размеры прямоугольника согласно рис. 2.</w:t>
      </w:r>
    </w:p>
    <w:p w14:paraId="07864EC3" w14:textId="77777777" w:rsidR="005B1422" w:rsidRPr="00717502" w:rsidRDefault="005B1422" w:rsidP="005B1422">
      <w:pPr>
        <w:pStyle w:val="a3"/>
        <w:numPr>
          <w:ilvl w:val="0"/>
          <w:numId w:val="6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на диаграмме контрагентов следует воспользоваться графическим символом с изображением человечка с надписью </w:t>
      </w:r>
      <w:r w:rsidRPr="00717502">
        <w:rPr>
          <w:b/>
          <w:bCs/>
        </w:rPr>
        <w:t>«Актер»</w:t>
      </w:r>
      <w:r w:rsidRPr="00717502">
        <w:rPr>
          <w:bCs/>
        </w:rPr>
        <w:t xml:space="preserve"> </w:t>
      </w:r>
      <w:r w:rsidRPr="00717502">
        <w:rPr>
          <w:bCs/>
          <w:noProof/>
        </w:rPr>
        <w:drawing>
          <wp:inline distT="0" distB="0" distL="0" distR="0" wp14:anchorId="464ACEFB" wp14:editId="3EF35245">
            <wp:extent cx="123825" cy="114300"/>
            <wp:effectExtent l="19050" t="0" r="9525" b="0"/>
            <wp:docPr id="44" name="Рисунок 4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17502">
        <w:rPr>
          <w:bCs/>
        </w:rPr>
        <w:t>.</w:t>
      </w:r>
      <w:proofErr w:type="gramEnd"/>
      <w:r w:rsidRPr="00717502">
        <w:rPr>
          <w:bCs/>
        </w:rPr>
        <w:t xml:space="preserve"> и так же перенести его на рабочее поле при нажатой правой клавише мышки.</w:t>
      </w:r>
    </w:p>
    <w:p w14:paraId="468833D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/>
          <w:bCs/>
        </w:rPr>
        <w:t>Примечание</w:t>
      </w:r>
      <w:r w:rsidRPr="00717502">
        <w:rPr>
          <w:bCs/>
        </w:rPr>
        <w:t>. Для последующего перемещения графических символов по рабочему полю необходимо зафиксировать пиктограмму «</w:t>
      </w:r>
      <w:r w:rsidRPr="00717502">
        <w:rPr>
          <w:b/>
          <w:bCs/>
        </w:rPr>
        <w:t>Указатель</w:t>
      </w:r>
      <w:r w:rsidRPr="00717502">
        <w:rPr>
          <w:bCs/>
        </w:rPr>
        <w:t>» с изображением стрелки, размещенную на панели инструментов "Форматирование" (в верхней части окна). Только после этого графический символ будет доступен для перемещения его мышкой.</w:t>
      </w:r>
    </w:p>
    <w:p w14:paraId="723A280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line="360" w:lineRule="auto"/>
        <w:contextualSpacing/>
        <w:rPr>
          <w:bCs/>
        </w:rPr>
      </w:pPr>
      <w:r w:rsidRPr="00717502">
        <w:rPr>
          <w:bCs/>
        </w:rPr>
        <w:t>Соедините линиями изображение каждого контрагента с прямоугольником. Для этого можно использовать пиктограмму «</w:t>
      </w:r>
      <w:r w:rsidRPr="00717502">
        <w:rPr>
          <w:b/>
          <w:bCs/>
        </w:rPr>
        <w:t>Сообщение</w:t>
      </w:r>
      <w:r w:rsidRPr="00717502">
        <w:rPr>
          <w:bCs/>
        </w:rPr>
        <w:t>», расположенную там же, где и «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», либо на панели инструментов "Стандартная" щелчком мыши зафиксируйте пиктограмму с </w:t>
      </w:r>
      <w:r w:rsidRPr="00717502">
        <w:rPr>
          <w:bCs/>
        </w:rPr>
        <w:lastRenderedPageBreak/>
        <w:t>изображением линии «</w:t>
      </w:r>
      <w:r w:rsidRPr="00717502">
        <w:rPr>
          <w:b/>
          <w:bCs/>
        </w:rPr>
        <w:t>Соединительная линия</w:t>
      </w:r>
      <w:r w:rsidRPr="00717502">
        <w:rPr>
          <w:bCs/>
        </w:rPr>
        <w:t xml:space="preserve">» и при нажатой левой клавише мышки осуществите соединение фигур. </w:t>
      </w:r>
    </w:p>
    <w:p w14:paraId="3C1F9693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Внесите наименования контрагентов "Покупатели (аптеки)", "Покупатели (дистрибьюторы)", "Поставщики (Россия)", "Поставщики (импорт)", "Транспортные компании". Для того чтобы внести надписи на диаграмме, необходимо на панели инструментов "Форматирование" зафиксировать пиктограмму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Щелкните мышкой на изображении человечка, курсор установится на поле с надписью 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. Введите в это поле наименование контрагента. </w:t>
      </w:r>
    </w:p>
    <w:p w14:paraId="22E0580D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Введите наименование компании "МЕД" в нарисованный прямоугольник, щелкнув мышкой по прямоугольнику. Обратите внимание на то, что при этом должна быть активна пиктограмма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</w:t>
      </w:r>
    </w:p>
    <w:p w14:paraId="139EAB9D" w14:textId="77777777" w:rsidR="005B1422" w:rsidRPr="00717502" w:rsidRDefault="005B1422" w:rsidP="005B1422">
      <w:pPr>
        <w:pStyle w:val="a3"/>
        <w:numPr>
          <w:ilvl w:val="0"/>
          <w:numId w:val="6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 xml:space="preserve">Аналогичным образом внесите надписи к линиям соединения фирмы и контрагентов. </w:t>
      </w:r>
    </w:p>
    <w:p w14:paraId="492A650D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Физическая диаграмма ЗАО "МЕД" представлена на </w:t>
      </w:r>
      <w:hyperlink r:id="rId9" w:anchor="image.2#image.2" w:history="1">
        <w:r w:rsidRPr="00717502">
          <w:rPr>
            <w:rStyle w:val="a5"/>
            <w:bCs/>
          </w:rPr>
          <w:t>рисунке 2</w:t>
        </w:r>
      </w:hyperlink>
      <w:r w:rsidRPr="00717502">
        <w:rPr>
          <w:bCs/>
        </w:rPr>
        <w:t>.</w:t>
      </w:r>
    </w:p>
    <w:p w14:paraId="7A7374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bookmarkStart w:id="1" w:name="image.2"/>
      <w:bookmarkEnd w:id="1"/>
      <w:r w:rsidRPr="00717502">
        <w:rPr>
          <w:bCs/>
          <w:noProof/>
        </w:rPr>
        <w:drawing>
          <wp:inline distT="0" distB="0" distL="0" distR="0" wp14:anchorId="17A7E7CD" wp14:editId="1F7468EF">
            <wp:extent cx="3962400" cy="3314700"/>
            <wp:effectExtent l="19050" t="0" r="0" b="0"/>
            <wp:docPr id="54" name="Рисунок 54" descr="Физическая диаграмма ЗАО &quot;МЕ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изическая диаграмма ЗАО &quot;МЕД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33EE4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2.  Физическая диаграмма ЗАО "МЕД" </w:t>
      </w:r>
    </w:p>
    <w:p w14:paraId="40D09276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Постро</w:t>
      </w:r>
      <w:r>
        <w:rPr>
          <w:b/>
          <w:bCs/>
        </w:rPr>
        <w:t>ение</w:t>
      </w:r>
      <w:r w:rsidRPr="00717502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717502">
        <w:rPr>
          <w:b/>
          <w:bCs/>
        </w:rPr>
        <w:t xml:space="preserve"> прецедентов </w:t>
      </w:r>
    </w:p>
    <w:p w14:paraId="1C8F86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Используя навыки, полученные при выполнении задания 1, построить диаграмму прецедентов, отображающую прецеденты (варианты использования) компании «Мед» и внутренних исполнителей, обеспечивающих реализацию этих прецедентов внутри системы (см. рис. 3). </w:t>
      </w:r>
    </w:p>
    <w:p w14:paraId="4921B0C4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4FEA5AE9" wp14:editId="6CAE7E6C">
            <wp:extent cx="4419600" cy="5848350"/>
            <wp:effectExtent l="19050" t="0" r="0" b="0"/>
            <wp:docPr id="56" name="Рисунок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71E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</w:p>
    <w:p w14:paraId="5697CFAE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3.  Диаграмма прецедентов (вариантов использования) компании "МЕД" </w:t>
      </w:r>
    </w:p>
    <w:p w14:paraId="19071796" w14:textId="77777777" w:rsidR="005B142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</w:p>
    <w:p w14:paraId="40209302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CB49270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76629CF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диаграмм прецедентов и контекстных диаграмм?</w:t>
      </w:r>
    </w:p>
    <w:p w14:paraId="402BA39D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О каких вариантах (прецедентах, сценариях) использования дают представление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Diagrams</w:t>
      </w:r>
      <w:r w:rsidRPr="00717502">
        <w:t>?</w:t>
      </w:r>
    </w:p>
    <w:p w14:paraId="6530A4C3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экторов и внешних сущностей.</w:t>
      </w:r>
    </w:p>
    <w:p w14:paraId="162DA7CE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Назовите сходства и различия прецедентов (на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</w:t>
      </w:r>
      <w:r w:rsidRPr="00717502">
        <w:t>) и процессов (на ДПД).</w:t>
      </w:r>
    </w:p>
    <w:p w14:paraId="708B50F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Для чего используются диаграммы прецедентов (вариантов использования)?</w:t>
      </w:r>
    </w:p>
    <w:p w14:paraId="2BAD15DA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lastRenderedPageBreak/>
        <w:t>Что отображает (представляет) «прецедент» на Диаграмме прецедентов?</w:t>
      </w:r>
    </w:p>
    <w:p w14:paraId="2A2C200B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такое «эктор» (актер, действующее лицо), что он отображает на диаграмме прецедентов?</w:t>
      </w:r>
    </w:p>
    <w:p w14:paraId="79D6034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основные типы «экторов».</w:t>
      </w:r>
    </w:p>
    <w:p w14:paraId="2248F7B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отношений (связей) между экторами и прецедентами используются на диаграммах прецедентов?</w:t>
      </w:r>
    </w:p>
    <w:p w14:paraId="6452F1A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Почему (кроме созвучия английскому </w:t>
      </w:r>
      <w:r w:rsidRPr="00717502">
        <w:rPr>
          <w:b/>
          <w:lang w:val="en-US"/>
        </w:rPr>
        <w:t>actors</w:t>
      </w:r>
      <w:r w:rsidRPr="00717502">
        <w:t xml:space="preserve">) </w:t>
      </w:r>
      <w:r w:rsidRPr="00717502">
        <w:rPr>
          <w:b/>
        </w:rPr>
        <w:t>эктор</w:t>
      </w:r>
      <w:r w:rsidRPr="00717502">
        <w:t xml:space="preserve"> часто переводится как </w:t>
      </w:r>
      <w:r w:rsidRPr="00717502">
        <w:rPr>
          <w:b/>
        </w:rPr>
        <w:t>актер</w:t>
      </w:r>
      <w:r w:rsidRPr="00717502">
        <w:t xml:space="preserve">? Какие еще варианты перевода </w:t>
      </w:r>
      <w:r w:rsidRPr="00717502">
        <w:rPr>
          <w:b/>
          <w:lang w:val="en-US"/>
        </w:rPr>
        <w:t>actors</w:t>
      </w:r>
      <w:r w:rsidRPr="00717502">
        <w:rPr>
          <w:b/>
        </w:rPr>
        <w:t xml:space="preserve"> </w:t>
      </w:r>
      <w:r w:rsidRPr="00717502">
        <w:t>на русский вам известны?</w:t>
      </w:r>
    </w:p>
    <w:p w14:paraId="5D0C8D65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Совпадает ли понятие «эктор» с понятием «физический пользователь»?</w:t>
      </w:r>
    </w:p>
    <w:p w14:paraId="459948B6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 какие 3 типа можно подразделять экторов?</w:t>
      </w:r>
    </w:p>
    <w:p w14:paraId="248752F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представляет (описывает, отображает) прецедент?</w:t>
      </w:r>
    </w:p>
    <w:p w14:paraId="7686E0A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связей (отношений) допускаются между экторами?</w:t>
      </w:r>
    </w:p>
    <w:p w14:paraId="2F65BB2A" w14:textId="77777777" w:rsidR="003F5E33" w:rsidRDefault="005B1422" w:rsidP="005B1422">
      <w:r w:rsidRPr="00717502">
        <w:t>Почему не рекомендуется подробная детализация диаграмм прецедентов?</w:t>
      </w:r>
    </w:p>
    <w:sectPr w:rsidR="003F5E33" w:rsidSect="005B1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C92"/>
    <w:multiLevelType w:val="multilevel"/>
    <w:tmpl w:val="2636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6AE"/>
    <w:multiLevelType w:val="multilevel"/>
    <w:tmpl w:val="E1F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B2DC9"/>
    <w:multiLevelType w:val="hybridMultilevel"/>
    <w:tmpl w:val="FB52332C"/>
    <w:lvl w:ilvl="0" w:tplc="8BB41E46">
      <w:start w:val="1"/>
      <w:numFmt w:val="decimal"/>
      <w:lvlText w:val="%1."/>
      <w:lvlJc w:val="left"/>
      <w:pPr>
        <w:tabs>
          <w:tab w:val="num" w:pos="661"/>
        </w:tabs>
        <w:ind w:left="-360" w:firstLine="720"/>
      </w:pPr>
      <w:rPr>
        <w:rFonts w:hint="default"/>
      </w:rPr>
    </w:lvl>
    <w:lvl w:ilvl="1" w:tplc="A630FB82">
      <w:numFmt w:val="none"/>
      <w:lvlText w:val=""/>
      <w:lvlJc w:val="left"/>
      <w:pPr>
        <w:tabs>
          <w:tab w:val="num" w:pos="360"/>
        </w:tabs>
      </w:pPr>
    </w:lvl>
    <w:lvl w:ilvl="2" w:tplc="3A9497E4">
      <w:numFmt w:val="none"/>
      <w:lvlText w:val=""/>
      <w:lvlJc w:val="left"/>
      <w:pPr>
        <w:tabs>
          <w:tab w:val="num" w:pos="360"/>
        </w:tabs>
      </w:pPr>
    </w:lvl>
    <w:lvl w:ilvl="3" w:tplc="94227F50">
      <w:numFmt w:val="none"/>
      <w:lvlText w:val=""/>
      <w:lvlJc w:val="left"/>
      <w:pPr>
        <w:tabs>
          <w:tab w:val="num" w:pos="360"/>
        </w:tabs>
      </w:pPr>
    </w:lvl>
    <w:lvl w:ilvl="4" w:tplc="93ACD39E">
      <w:numFmt w:val="none"/>
      <w:lvlText w:val=""/>
      <w:lvlJc w:val="left"/>
      <w:pPr>
        <w:tabs>
          <w:tab w:val="num" w:pos="360"/>
        </w:tabs>
      </w:pPr>
    </w:lvl>
    <w:lvl w:ilvl="5" w:tplc="E70C7454">
      <w:numFmt w:val="none"/>
      <w:lvlText w:val=""/>
      <w:lvlJc w:val="left"/>
      <w:pPr>
        <w:tabs>
          <w:tab w:val="num" w:pos="360"/>
        </w:tabs>
      </w:pPr>
    </w:lvl>
    <w:lvl w:ilvl="6" w:tplc="4232E1B8">
      <w:numFmt w:val="none"/>
      <w:lvlText w:val=""/>
      <w:lvlJc w:val="left"/>
      <w:pPr>
        <w:tabs>
          <w:tab w:val="num" w:pos="360"/>
        </w:tabs>
      </w:pPr>
    </w:lvl>
    <w:lvl w:ilvl="7" w:tplc="14CE9B98">
      <w:numFmt w:val="none"/>
      <w:lvlText w:val=""/>
      <w:lvlJc w:val="left"/>
      <w:pPr>
        <w:tabs>
          <w:tab w:val="num" w:pos="360"/>
        </w:tabs>
      </w:pPr>
    </w:lvl>
    <w:lvl w:ilvl="8" w:tplc="C43E127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38A739E"/>
    <w:multiLevelType w:val="multilevel"/>
    <w:tmpl w:val="9F4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27E7E"/>
    <w:multiLevelType w:val="multilevel"/>
    <w:tmpl w:val="011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31265">
    <w:abstractNumId w:val="4"/>
  </w:num>
  <w:num w:numId="2" w16cid:durableId="67116254">
    <w:abstractNumId w:val="2"/>
  </w:num>
  <w:num w:numId="3" w16cid:durableId="1772772653">
    <w:abstractNumId w:val="5"/>
  </w:num>
  <w:num w:numId="4" w16cid:durableId="1988627402">
    <w:abstractNumId w:val="6"/>
  </w:num>
  <w:num w:numId="5" w16cid:durableId="1750729896">
    <w:abstractNumId w:val="1"/>
  </w:num>
  <w:num w:numId="6" w16cid:durableId="581066769">
    <w:abstractNumId w:val="0"/>
  </w:num>
  <w:num w:numId="7" w16cid:durableId="26446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6"/>
    <w:rsid w:val="003F5E33"/>
    <w:rsid w:val="004955ED"/>
    <w:rsid w:val="005B1422"/>
    <w:rsid w:val="005E10D2"/>
    <w:rsid w:val="00CF4B76"/>
    <w:rsid w:val="00DD5899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A198"/>
  <w15:chartTrackingRefBased/>
  <w15:docId w15:val="{7479E411-7BD0-4E35-9AE7-A61016E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1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devis/13/5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intuit.ru/department/se/devis/13/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4</cp:revision>
  <dcterms:created xsi:type="dcterms:W3CDTF">2020-12-19T17:30:00Z</dcterms:created>
  <dcterms:modified xsi:type="dcterms:W3CDTF">2024-10-13T04:34:00Z</dcterms:modified>
</cp:coreProperties>
</file>