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BAD" w:rsidRPr="00F0590F" w:rsidRDefault="00573BAD" w:rsidP="00573BAD">
      <w:pPr>
        <w:spacing w:after="0" w:line="240" w:lineRule="auto"/>
        <w:ind w:right="-1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Лекция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15</w:t>
      </w: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</w:p>
    <w:p w:rsidR="00573BAD" w:rsidRPr="00F0590F" w:rsidRDefault="00573BAD" w:rsidP="00573BAD">
      <w:pPr>
        <w:spacing w:after="0" w:line="240" w:lineRule="auto"/>
        <w:ind w:right="-1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 Ссылки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В PHP есть два вида ссылок: жёсткие и символические. Жёсткая ссылка на переменную - это просто синоним.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жёсткой ссылки.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&amp;$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; //$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синоним (жёсткая ссылка) переменной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"\$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&lt;BR&gt;"; //напечатается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5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$a = 10;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"\$a = $a, \$b = $b &lt;BR&gt;"; //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напечатается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$a=10, $b = 10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Символические ссылки весьма необычны. Приведём сначала пример символической ссылки, а потом дадим разъяснения.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символической ссылки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='a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'; 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//$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скалярная переменная, а $$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символическая ссылка на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"\$z = $z, \$\$z =".$$z."&lt;BR&gt;";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//напечатается "$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$$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=10"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переменной состоит из префикса "$" и идентификатора. В примере значение переменной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совпадает с идентификатором переменной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Даже если это совпадение произошло случайно,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одновременно и просто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переменная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символическая ссылка на переменную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т. е. $$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Выполнение конструкции $$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считать состоящей из двух этапов: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1. Конкатенация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'$'.$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Получается строка "$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2. 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трока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" интерпретируется (интерполируется) как переменная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вместо неё подставляется значение (в примере $a=10).</w:t>
      </w:r>
    </w:p>
    <w:p w:rsidR="00573BAD" w:rsidRPr="00F0590F" w:rsidRDefault="00573BAD" w:rsidP="00573BAD">
      <w:pPr>
        <w:spacing w:before="100" w:beforeAutospacing="1" w:after="0" w:line="240" w:lineRule="auto"/>
        <w:ind w:firstLine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значения по ссылке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функции нужно изменять при любом обращении одни и те же глобальные переменные, то достаточно воспользоваться объявлением 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global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как это сделано в приведённом выше </w:t>
      </w:r>
      <w:hyperlink r:id="rId4" w:anchor="glob" w:history="1">
        <w:r w:rsidRPr="00F0590F">
          <w:rPr>
            <w:rFonts w:ascii="Times New Roman" w:eastAsia="Times New Roman" w:hAnsi="Times New Roman" w:cs="Times New Roman"/>
            <w:sz w:val="24"/>
            <w:szCs w:val="24"/>
            <w:u w:val="single"/>
            <w:lang w:eastAsia="ru-RU"/>
          </w:rPr>
          <w:t>примере</w:t>
        </w:r>
      </w:hyperlink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. А как поступить, если в функции при разных обращениях нужно изменять разные глобальные переменные? Можно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$a=5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;$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b=2; $c=1;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a,$b,$c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)=F1($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a,$b,$c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"a=$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=$b, c=$c&lt;BR&gt;";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$d=50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;$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e=20; $f=10;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d,$e,$f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)=F1($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d,$e,$f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"d=$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d,e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=$e, f=$f&lt;BR&gt;";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F1($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x,$y,$z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    $x--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;$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y++;$z++;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x,$y,$z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);   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/*Результат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a=4, b=3, c=2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d=49, e=21, f=11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*/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Перепишем этот пример так: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$a=5;$b=2; $c=1;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F1(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a,$b,$c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"a=$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a,b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b,c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=$c&lt;BR&gt;";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$d=50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;$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e=20; $f=10;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F1(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d,$e,$f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"d=$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d,e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e,f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=$f&lt;BR&gt;";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F1(&amp;$x,&amp;$y,&amp;$z)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{   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--;$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y++;$z++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/*Результат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a=4,b=3, c=2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d=49, e=21, f=11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*/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новом варианте примера &amp;$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на время выполнения функции F1() локальная переменная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служит синонимом глобальной переменной из списка фактических параметров. При первом обращении к F1()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при втором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≡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Таким образом, префикс &amp; делает формальный параметр жёсткой ссылкой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соответствующий фактический.</w:t>
      </w:r>
    </w:p>
    <w:p w:rsidR="00573BAD" w:rsidRPr="00F0590F" w:rsidRDefault="00573BAD" w:rsidP="00573BAD">
      <w:pPr>
        <w:spacing w:before="100" w:beforeAutospacing="1" w:after="0" w:line="240" w:lineRule="auto"/>
        <w:ind w:firstLine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Символическая ссылка на функцию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В PHP, если переменная содержит имя функции, то можно вызывать функцию, используя вместо имени функции имя переменной, например, если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', то вместо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), можно написать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73BAD" w:rsidRPr="00573BAD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573BAD" w:rsidRPr="00573BAD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 w:rsidRPr="00573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='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</w:t>
      </w:r>
      <w:r w:rsidRPr="00573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';</w:t>
      </w:r>
    </w:p>
    <w:p w:rsidR="00573BAD" w:rsidRPr="00573BAD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$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573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30;</w:t>
      </w:r>
    </w:p>
    <w:p w:rsidR="00573BAD" w:rsidRPr="00573BAD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73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$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73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$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573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/180*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</w:t>
      </w:r>
      <w:r w:rsidRPr="00573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573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//1. Выполнение функции, имя которой задано в переменной  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$z = $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$x);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($y&lt;SUP&gt;o&lt;/sup&gt;)= $z&lt;BR&gt;"; //sin(30</w:t>
      </w:r>
      <w:r w:rsidRPr="00F0590F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o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 = 0.5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//2. Передача имени функции в качестве параметра в другую функцию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ex_val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func,$x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)."&lt;BR&gt;"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 /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/1.5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ex_val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sin',$x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)."&lt;BR&gt;"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 /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/1.5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function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ex_val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f,$t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 $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 = $f($t)+1;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$x;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73BAD" w:rsidRPr="00F0590F" w:rsidRDefault="00573BAD" w:rsidP="00573BAD">
      <w:pPr>
        <w:spacing w:before="100" w:beforeAutospacing="1" w:after="0" w:line="240" w:lineRule="auto"/>
        <w:ind w:firstLine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eval</w:t>
      </w:r>
      <w:proofErr w:type="spellEnd"/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 и символические ссылки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Параметром функции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eval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() служит выражение, задаваемое в виде строки. Это выражение интерполируется и выполняется.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='sin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';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$x=30;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eval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("\$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z=$f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/180*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());");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//Выражение в кавычках в результате интерполяции примет вид оператора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// 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z=sin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(30/180*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// Этот оператор выполнится и получится $z=0.5 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z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&lt;BR&gt;"; //$z=0.5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функции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eval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может вносить изменения в программу в процессе её выполнения. Этим свойством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eval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() могут воспользоваться и люди с недобрыми намерениями. Ниже приведён пример сайта, состоящего из двух страниц. Первая страница (рис. 2) служит для ввода пользователем фамилии и оклада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90"/>
      </w:tblGrid>
      <w:tr w:rsidR="00573BAD" w:rsidRPr="00F0590F" w:rsidTr="00905E65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573BAD" w:rsidRPr="00F0590F" w:rsidRDefault="00573BAD" w:rsidP="00905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90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267200" cy="1143000"/>
                  <wp:effectExtent l="19050" t="0" r="0" b="0"/>
                  <wp:docPr id="10" name="Рисунок 2" descr="https://i.voenmeh.ru/kafi5/Kam.loc/PHPzadan/eval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.voenmeh.ru/kafi5/Kam.loc/PHPzadan/eval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BAD" w:rsidRPr="00F0590F" w:rsidTr="00905E65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573BAD" w:rsidRPr="00F0590F" w:rsidRDefault="00573BAD" w:rsidP="00905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 2. Форма для ввода</w:t>
            </w:r>
          </w:p>
        </w:tc>
      </w:tr>
    </w:tbl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вторую страницу (рис. 3) выводятся результаты работы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выводит полученные данные.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6"/>
      </w:tblGrid>
      <w:tr w:rsidR="00573BAD" w:rsidRPr="00F0590F" w:rsidTr="00905E65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573BAD" w:rsidRPr="00F0590F" w:rsidRDefault="00573BAD" w:rsidP="00905E6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Использование </w:t>
            </w:r>
            <w:proofErr w:type="spellStart"/>
            <w:r w:rsidRPr="00F0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eval</w:t>
            </w:r>
            <w:proofErr w:type="spellEnd"/>
            <w:r w:rsidRPr="00F0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 для</w:t>
            </w:r>
            <w:r w:rsidRPr="00F0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приёма параметров</w:t>
            </w:r>
          </w:p>
          <w:p w:rsidR="00573BAD" w:rsidRPr="00F0590F" w:rsidRDefault="00573BAD" w:rsidP="00905E6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- Петров</w:t>
            </w:r>
            <w:r w:rsidRPr="00F05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Оклад 40000 рублей</w:t>
            </w:r>
          </w:p>
        </w:tc>
      </w:tr>
      <w:tr w:rsidR="00573BAD" w:rsidRPr="00F0590F" w:rsidTr="00905E65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573BAD" w:rsidRPr="00F0590F" w:rsidRDefault="00573BAD" w:rsidP="00905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 3. Форма для вывода результатов</w:t>
            </w:r>
          </w:p>
        </w:tc>
      </w:tr>
    </w:tbl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Текст (код) первой HTML-страницы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&lt;HTML&gt;&lt;HEAD&gt;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meta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http-equiv="Content-Type" content="text/html;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charset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=WINDOWS-1251"&gt;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&lt;TITLE&gt;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&lt;/title&gt;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head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&lt;BODY&gt;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&lt;h2&gt;Функция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eval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() и символические ссылки&lt;/h2&gt;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&lt;FORM METHOD=GET action ='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eval_.php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 . . . &lt;INPUT type=text name=FIO&gt;&lt;BR&gt;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Оклад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 . . &lt;INPUT type=text name=x&gt;&lt;BR&gt;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&lt;INPUT type=submit value='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Текст (код) второй HTML-страницы с </w:t>
      </w:r>
      <w:proofErr w:type="spellStart"/>
      <w:r w:rsidRPr="00F0590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PHP-скриптом</w:t>
      </w:r>
      <w:proofErr w:type="spellEnd"/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&lt;h2&gt;Использование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eval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() для приёма параметров&lt;/h2&gt;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&lt;?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//В цикле перебираются все поступившие с браузера параметры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//В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данномм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примере всего два параметра FIO и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x</w:t>
      </w:r>
      <w:proofErr w:type="spellEnd"/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($_GET as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=&gt;$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eval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("\$$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ke='$val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';");}//Результат интерполяции выражения 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//"\$$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='$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';"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='FIO'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Петров</w:t>
      </w: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'-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//$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FIO='Петров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'. Этот оператор выполнится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//функцией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eval</w:t>
      </w:r>
      <w:proofErr w:type="spellEnd"/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Фамилия=$FIO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&lt;BR&gt;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оклад=$x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рублей";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?&gt;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&gt;&lt;/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 адреса в браузере при отображении второй страницы будет иметь вид</w:t>
      </w:r>
    </w:p>
    <w:p w:rsidR="00573BAD" w:rsidRPr="00F0590F" w:rsidRDefault="00573BAD" w:rsidP="00573BAD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http://primery/PHPkucha/eval_.php?FIO=%CF%E5%F2%F0%EE%E2&amp;x=45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знака вопроса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перечисляюся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пары "имя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переменной=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значение"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.П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ары разделяются знаком амперсанта. (%CF - код буквы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кодировке windows-1251, %E5 - е и %CF%E5%F2%F0%EE%E2 - 'Петров'). Попробуем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похулиганить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. Изменим значения параметров в адресной строке браузера следующим образом</w:t>
      </w:r>
    </w:p>
    <w:p w:rsidR="00573BAD" w:rsidRPr="00F0590F" w:rsidRDefault="00573BAD" w:rsidP="00573BAD">
      <w:pPr>
        <w:spacing w:after="7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http://primery/PHPkucha/eval_.php?FIO='.sin(30/180*pi()).'&amp;x=XA-XA-XA</w:t>
      </w:r>
    </w:p>
    <w:p w:rsidR="00573BAD" w:rsidRPr="00F0590F" w:rsidRDefault="00573BAD" w:rsidP="00573BAD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перезагрузим страницу. Результат на рис. 4.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15"/>
      </w:tblGrid>
      <w:tr w:rsidR="00573BAD" w:rsidRPr="00F0590F" w:rsidTr="00905E65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573BAD" w:rsidRPr="00F0590F" w:rsidRDefault="00573BAD" w:rsidP="00905E6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Использование </w:t>
            </w:r>
            <w:proofErr w:type="spellStart"/>
            <w:r w:rsidRPr="00F0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eval</w:t>
            </w:r>
            <w:proofErr w:type="spellEnd"/>
            <w:r w:rsidRPr="00F0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() для</w:t>
            </w:r>
            <w:r w:rsidRPr="00F059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  <w:t>приёма параметров</w:t>
            </w:r>
          </w:p>
          <w:p w:rsidR="00573BAD" w:rsidRPr="00F0590F" w:rsidRDefault="00573BAD" w:rsidP="00905E65">
            <w:pPr>
              <w:spacing w:before="75" w:after="75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- 0.5</w:t>
            </w:r>
            <w:r w:rsidRPr="00F05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Оклад - XA-XA-XA</w:t>
            </w:r>
          </w:p>
        </w:tc>
      </w:tr>
      <w:tr w:rsidR="00573BAD" w:rsidRPr="00F0590F" w:rsidTr="00905E65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90" w:type="dxa"/>
              <w:bottom w:w="15" w:type="dxa"/>
              <w:right w:w="90" w:type="dxa"/>
            </w:tcMar>
            <w:vAlign w:val="center"/>
            <w:hideMark/>
          </w:tcPr>
          <w:p w:rsidR="00573BAD" w:rsidRPr="00F0590F" w:rsidRDefault="00573BAD" w:rsidP="00905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59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 4. Результаты изменения значений параметров</w:t>
            </w:r>
          </w:p>
        </w:tc>
      </w:tr>
    </w:tbl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конечно шутка, мелкое хулиганство, но при определённых навыках таким приёмом можно нанести серьёзный вред. Можно заставить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выполнить любую последовательность команд. Чтобы не дать злоумышленнику этой возможности, заменим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eval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() на символическую ссылку: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foreach</w:t>
      </w:r>
      <w:proofErr w:type="spellEnd"/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($_GET as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=&gt;$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 /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("\$$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='$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';");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$$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=$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окно браузера будет выведена испорченная информация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Фамилия - '.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(30/180*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()).'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Оклад - XA-XA-XA рублей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,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73BAD" w:rsidRPr="00F0590F" w:rsidRDefault="00573BAD" w:rsidP="00573BAD">
      <w:pPr>
        <w:spacing w:before="75" w:after="7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её будет видеть только злоумышленник, а функция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() в нашем примере выполнена не будет. В общем случае не будет выполнена введённая в адресную строку последовательность команд.</w:t>
      </w:r>
    </w:p>
    <w:p w:rsidR="00573BAD" w:rsidRPr="00F0590F" w:rsidRDefault="00573BAD" w:rsidP="00573BAD">
      <w:pPr>
        <w:spacing w:before="100" w:beforeAutospacing="1" w:after="0" w:line="240" w:lineRule="auto"/>
        <w:ind w:firstLine="45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использования символических ссылок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Задача. Вводится римскими цифрами век. Нужно напечатать, кто царствовал в этом веке. Например, ввели "XVI", нужно вывести</w:t>
      </w: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"В XVI веке царствовал Иван Васильевич".</w:t>
      </w:r>
    </w:p>
    <w:p w:rsidR="00573BAD" w:rsidRPr="00F0590F" w:rsidRDefault="00573BAD" w:rsidP="00573BAD">
      <w:pPr>
        <w:spacing w:before="75" w:after="75" w:line="240" w:lineRule="auto"/>
        <w:ind w:firstLine="3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будем показывать HTML-страницу с вводом века. Рассмотрим 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решающий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поставленную задачу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&lt;HTML&gt;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&lt;?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php</w:t>
      </w:r>
      <w:proofErr w:type="spellEnd"/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vek=$_GET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['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vek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']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$XVI="Иван Васильевич";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$XVIII="Пётр Алексеевич";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$XIX="Николай Павлович";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//Если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vek=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"XIX", то $$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vek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proofErr w:type="gram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cc</w:t>
      </w:r>
      <w:proofErr w:type="gram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ылка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переменную $XIX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"В 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vek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веке царствовал ". $$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vek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."&lt;BR&gt;";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//В XIX веке царствовал Николай Павлович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?&gt;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&lt;/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573BAD" w:rsidRPr="00F0590F" w:rsidRDefault="00573BAD" w:rsidP="00573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&lt;/</w:t>
      </w:r>
      <w:proofErr w:type="spellStart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F0590F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573BAD" w:rsidRPr="00F0590F" w:rsidRDefault="00573BAD" w:rsidP="00573BAD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0590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:rsidR="00F54017" w:rsidRDefault="00F54017"/>
    <w:sectPr w:rsidR="00F54017" w:rsidSect="00F54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73BAD"/>
    <w:rsid w:val="00573BAD"/>
    <w:rsid w:val="00F540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3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3B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.voenmeh.ru/kafi5/Kam.loc/PHPzadan/LEKCII_PH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1023</Words>
  <Characters>5834</Characters>
  <Application>Microsoft Office Word</Application>
  <DocSecurity>0</DocSecurity>
  <Lines>48</Lines>
  <Paragraphs>13</Paragraphs>
  <ScaleCrop>false</ScaleCrop>
  <Company/>
  <LinksUpToDate>false</LinksUpToDate>
  <CharactersWithSpaces>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Hypa</dc:creator>
  <cp:lastModifiedBy>Hypa</cp:lastModifiedBy>
  <cp:revision>1</cp:revision>
  <dcterms:created xsi:type="dcterms:W3CDTF">2020-12-14T06:43:00Z</dcterms:created>
  <dcterms:modified xsi:type="dcterms:W3CDTF">2020-12-14T06:43:00Z</dcterms:modified>
</cp:coreProperties>
</file>