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80"/>
      </w:pPr>
      <w:r>
        <w:rPr>
          <w:rFonts w:ascii="Arial" w:hAnsi="Arial"/>
          <w:b/>
          <w:color w:val="1B6EB5"/>
          <w:sz w:val="22"/>
        </w:rPr>
        <w:t>SEOJEV V3 — EXECUTIVE INTELLIGENCE SUMMARY</w:t>
        <w:br/>
      </w:r>
      <w:r>
        <w:rPr>
          <w:rFonts w:ascii="Arial" w:hAnsi="Arial"/>
          <w:b/>
          <w:color w:val="0F3870"/>
          <w:sz w:val="36"/>
        </w:rPr>
        <w:t>Search Intelligence &amp; Executive Diagnostics: https://www.drivio.in/</w:t>
      </w:r>
    </w:p>
    <w:p>
      <w:pPr>
        <w:pStyle w:val="Heading1"/>
      </w:pPr>
      <w:r>
        <w:rPr>
          <w:rFonts w:ascii="Arial" w:hAnsi="Arial"/>
          <w:color w:val="0F3870"/>
          <w:sz w:val="28"/>
        </w:rPr>
        <w:t>THE 14 EXECUTIVE QUESTIONS ANSWERED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3870"/>
          </w:tcPr>
          <w:p>
            <w:r>
              <w:rPr>
                <w:b/>
                <w:color w:val="FFFFFF"/>
              </w:rPr>
              <w:t>Core Strategic Question</w:t>
            </w:r>
          </w:p>
        </w:tc>
        <w:tc>
          <w:tcPr>
            <w:tcW w:type="dxa" w:w="2880"/>
            <w:shd w:fill="0F3870"/>
          </w:tcPr>
          <w:p>
            <w:r>
              <w:rPr>
                <w:b/>
                <w:color w:val="FFFFFF"/>
              </w:rPr>
              <w:t>Audit Finding &amp; Actionable Diagnosis</w:t>
            </w:r>
          </w:p>
        </w:tc>
        <w:tc>
          <w:tcPr>
            <w:tcW w:type="dxa" w:w="2880"/>
            <w:shd w:fill="0F3870"/>
          </w:tcPr>
          <w:p>
            <w:r>
              <w:rPr>
                <w:b/>
                <w:color w:val="FFFFFF"/>
              </w:rPr>
              <w:t>Evidence Ref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1. What does this site contain, and which pages matter most?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6,098 pages crawled; 1,232 core vehicle model pages represent the primary commercial revenue driver.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66666"/>
                <w:sz w:val="17"/>
              </w:rPr>
              <w:t>PROV-pages-total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2. Which pages get search visibility, and for which queries?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Top brand hubs and high-volume model pages capture organic impressions. GSC query mapping links search intent to landing pages.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66666"/>
                <w:sz w:val="17"/>
              </w:rPr>
              <w:t>PROV-qpm-visibility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3. What intent does each query carry, and is the ranking page right?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Commercial/transactional intent queries route to model pages; navigational queries route to brand hubs.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66666"/>
                <w:sz w:val="17"/>
              </w:rPr>
              <w:t>PROV-qpm-intent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4. Which pages underperform relative to demand available?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Striking distance queries (positions 11-20) underperform baseline CTR, presenting immediate headroom for snippet optimization.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66666"/>
                <w:sz w:val="17"/>
              </w:rPr>
              <w:t>PROV-qpm-striking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5. What is technically wrong or limiting?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No fatal crawl loops detected. Primary technical opportunity is standardizing template-wide metadata generation.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66666"/>
                <w:sz w:val="17"/>
              </w:rPr>
              <w:t>PROV-opps-tpl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6. What content, entity, and structured-data gaps exist?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Commercial content gaps: missing detailed specification tables, EMI calculations, and Vehicle JSON-LD schema.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66666"/>
                <w:sz w:val="17"/>
              </w:rPr>
              <w:t>PROV-opps-content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7. What competitor and content-format gaps exist?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Competitor benchmarks indicate opportunities for structured comparison matrices and user review summaries.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66666"/>
                <w:sz w:val="17"/>
              </w:rPr>
              <w:t>PROV-comp-matrix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8. What exact action should be taken and where?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Deploy template-level updates in components and templates touching 1,232 pages.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66666"/>
                <w:sz w:val="17"/>
              </w:rPr>
              <w:t>PROV-opps-actions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9. How do we verify it after shipping, automatically?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Each work order specifies an automated verification assertion string executed against the live DOM.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66666"/>
                <w:sz w:val="17"/>
              </w:rPr>
              <w:t>PROV-wo-specs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10. After shipping, did the observed outcome change?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Difference-in-Differences (DiD) cohort evaluations isolate intervention effect against parallel control groups.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66666"/>
                <w:sz w:val="17"/>
              </w:rPr>
              <w:t>PROV-experiments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11. What is the engineering vs content effort breakdown?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775 Engineering Work Orders vs 10589 Content Work Orders generated.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66666"/>
                <w:sz w:val="17"/>
              </w:rPr>
              <w:t>PROV-wo-effort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12. What are the P0/P1 blocker issues requiring immediate sprint allocation?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0 high-priority work orders identified for immediate engineering sprint assignment.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66666"/>
                <w:sz w:val="17"/>
              </w:rPr>
              <w:t>PROV-wo-p0p1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13. How does specification depth compare to industry peers?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Entity coverage scores show high alignment on core power/engine specs with room to enrich dimensions.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66666"/>
                <w:sz w:val="17"/>
              </w:rPr>
              <w:t>PROV-attrs-cov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14. What are the key risk areas?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Accidental noindex directives, thin programmatic page proliferation, and unverified financing claims.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66666"/>
                <w:sz w:val="17"/>
              </w:rPr>
              <w:t>PROV-risk-hygiene</w:t>
            </w:r>
          </w:p>
        </w:tc>
      </w:tr>
    </w:tbl>
    <w:p>
      <w:pPr>
        <w:pStyle w:val="Heading2"/>
      </w:pPr>
      <w:r>
        <w:rPr>
          <w:rFonts w:ascii="Arial" w:hAnsi="Arial"/>
          <w:color w:val="1B6EB5"/>
          <w:sz w:val="26"/>
        </w:rPr>
        <w:t>RECOMMENDED 14-DAY ENGINEERING SPRINT</w:t>
      </w:r>
    </w:p>
    <w:p>
      <w:r>
        <w:rPr>
          <w:b/>
        </w:rPr>
        <w:t xml:space="preserve">1. Sprint Week 1 (Engineering P0/P1): </w:t>
      </w:r>
      <w:r>
        <w:t>Implement template-level structured data and metadata on core model templates (775 engineering tickets).</w:t>
        <w:br/>
      </w:r>
      <w:r>
        <w:rPr>
          <w:b/>
        </w:rPr>
        <w:t xml:space="preserve">2. Sprint Week 2 (Content &amp; Links): </w:t>
      </w:r>
      <w:r>
        <w:t>Author missing specification matrices and inject high-relevance internal links (10589 content tickets).</w:t>
        <w:br/>
      </w:r>
      <w:r>
        <w:rPr>
          <w:b/>
        </w:rPr>
        <w:t xml:space="preserve">3. Post-Deployment Verification: </w:t>
      </w:r>
      <w:r>
        <w:t>Run `python main.py verify` to evaluate automated assertions against deployed pages.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