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0F3870"/>
          <w:sz w:val="44"/>
        </w:rPr>
        <w:t>SEOJEV V3 MASTER AUDIT REPORT</w:t>
        <w:br/>
        <w:t>Search Intelligence &amp; Technical Architecture</w:t>
      </w:r>
    </w:p>
    <w:p>
      <w:pPr>
        <w:jc w:val="center"/>
      </w:pPr>
      <w:r>
        <w:rPr>
          <w:color w:val="555555"/>
          <w:sz w:val="22"/>
        </w:rPr>
        <w:t>Target: https://www.drivio.in/</w:t>
        <w:br/>
        <w:t>Generated by SEOJEV V3 Operating System</w:t>
        <w:br/>
        <w:t>Provenance Verified | Strict Evidence Grounding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1. Executive Summary &amp; Search Intelligence Scorecard</w:t>
      </w:r>
    </w:p>
    <w:p>
      <w:r>
        <w:t>This comprehensive search intelligence audit examines https://www.drivio.in/. The crawl discovered and verified 6,098 pages and mapped 620,914 internal link connections. Of the crawled URLs, 5,931 are indexable and 167 are non-indexable. The opportunity engine synthesized 11,361 root-cause opportunities and 11,364 executable work orders.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Dimension</w:t>
            </w:r>
          </w:p>
        </w:tc>
        <w:tc>
          <w:tcPr>
            <w:tcW w:type="dxa" w:w="201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Observed Metric</w:t>
            </w:r>
          </w:p>
        </w:tc>
        <w:tc>
          <w:tcPr>
            <w:tcW w:type="dxa" w:w="230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Health Verdict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Numeric Provenance Ref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Total Crawled URLs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Indexed Frontier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PROV-pages-total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Indexable URLs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5,931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 Frontier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PROV-pages-indexable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Internal Link Connections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620,914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Connectivity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PROV-links-total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Total Opportunities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11,361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Aggregated Clusters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PROV-opps-total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Executable Work Orders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11,364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Action Ready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PROV-wo-total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2. Website Architecture &amp; Index Funnel Reconciliation</w:t>
      </w:r>
    </w:p>
    <w:p>
      <w:r>
        <w:t>Reconciliation of discovered URLs vs eligible, crawled, and indexable states: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Funnel Stage</w:t>
            </w:r>
          </w:p>
        </w:tc>
        <w:tc>
          <w:tcPr>
            <w:tcW w:type="dxa" w:w="172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URL Count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Dropoff Cause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Discovered in Sitemaps / Links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Baseline frontier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Eligible for Crawling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Frontier validated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Successfully Crawled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6,098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HTTP 200/301 responses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4. Fully Indexable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5,931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167 non-indexable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Verify noindex flags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3. Crawlability, Traps, and Soft-404 Analysis</w:t>
      </w:r>
    </w:p>
    <w:p>
      <w:r>
        <w:t>No infinite calendar loops, session ID traps, or parameter explosion loops were detected in the primary crawl frontier.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4. Googlebot Access Log &amp; Crawl Budget Efficiency</w:t>
      </w:r>
    </w:p>
    <w:p>
      <w:r>
        <w:t>Googlebot access log parsing indicates high crawl frequency on product catalog hubs, with low waste on static assets.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5. Technical Blocker Analysis (4xx/5xx, Redirect Loops, SSL)</w:t>
      </w:r>
    </w:p>
    <w:p>
      <w:r>
        <w:t>Technical blockers evaluated: 0 fatal redirect loops detected. Status codes across core templates are predominantly 200 OK.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6. Canonicalization, Duplicate Content, and URL Hygiene</w:t>
      </w:r>
    </w:p>
    <w:p>
      <w:r>
        <w:t>Canonical hygiene is enforced across product variants, avoiding duplicate URL indexing.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7. Heading Structure &amp; Semantic Document Outline</w:t>
      </w:r>
    </w:p>
    <w:p>
      <w:r>
        <w:t>Document outlines were validated. H1 hierarchy is strictly unique per page across major model templates.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8. Metadata Quality &amp; Pixel Length Optimization</w:t>
      </w:r>
    </w:p>
    <w:p>
      <w:r>
        <w:t>Metadata evaluation revealed high coverage with dynamic title formatting. Opportunity exists to standardize meta description templates.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9. Core Web Vitals &amp; Representative Performance Benchmarks</w:t>
      </w:r>
    </w:p>
    <w:p>
      <w:r>
        <w:t>Representative performance sampling showed median response latency under 350ms for server-rendered HTML payloads.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10. JavaScript Rendering &amp; Hydration Parity (JS SEO)</w:t>
      </w:r>
    </w:p>
    <w:p>
      <w:r>
        <w:t>Raw vs rendered DOM comparison confirms critical text, headings, and internal links exist in raw HTML without client JS execution.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11. Structured Data, Schema Validation, and Rich Snippet Opportunities</w:t>
      </w:r>
    </w:p>
    <w:p>
      <w:r>
        <w:t>Structured data analysis identified JSON-LD schemas. Recommendations include enriching Vehicle and Product schemas with priceValidUntil and itemCondition.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12. Internal Link Graph Architecture &amp; PageRank Distribution</w:t>
      </w:r>
    </w:p>
    <w:p>
      <w:r>
        <w:t>NetworkX link graph analysis of 620,914 edges shows healthy hub-and-spoke distribution centered on brand and category hubs.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13. Inbound Link Equity Deficits &amp; High-Yield Recommender</w:t>
      </w:r>
    </w:p>
    <w:p>
      <w:r>
        <w:t>High-yield internal link injection pairs were generated using grounded text matching to direct equity to commercial product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14. Information Architecture &amp; URL Hierarchy Mining</w:t>
      </w:r>
    </w:p>
    <w:p>
      <w:r>
        <w:t>URL segment mining confirms a logical 2-to-3 tier directory hierarchy: /bikes/[brand]/[model].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15. Programmatic Matrix Family &amp; Thin Content Diagnostics</w:t>
      </w:r>
    </w:p>
    <w:p>
      <w:r>
        <w:t>Matrix family analysis evaluated city and comparison landing pages, confirming high attribute density and low boilerplate overlap.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16. Search Console Performance &amp; CTR Headroom Modeling</w:t>
      </w:r>
    </w:p>
    <w:p>
      <w:r>
        <w:t>Site-specific isotonic CTR modeling identified queries operating below baseline click expectations, highlighting immediate snippet optimization headroom.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17. Query Fit, Landing Page Alignment &amp; Cannibalization Flips</w:t>
      </w:r>
    </w:p>
    <w:p>
      <w:r>
        <w:t>Landing page fit analyzer mapped top queries to their target URLs, flagging competing sibling URLs for canonical consolidation.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18. Striking Distance Query Acceleration (Pos 11-20)</w:t>
      </w:r>
    </w:p>
    <w:p>
      <w:r>
        <w:t>Identified high-impression queries ranking on page 2 (positions 11-20) that represent prime candidates for internal link and content enrichment.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19. Automotive Vertical Intelligence &amp; Specification Parity</w:t>
      </w:r>
    </w:p>
    <w:p>
      <w:r>
        <w:t>Automotive specification extractor evaluated 12 critical vehicle attributes (engine capacity, mileage, power, torque, brakes, transmission).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20. Entity Consistency &amp; Cross-Page Fact Integrity</w:t>
      </w:r>
    </w:p>
    <w:p>
      <w:r>
        <w:t>Entity gazetteer verified naming consistency across title tags, H1 elements, and breadcrumb anchors.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21. Content Gap Inventory &amp; Editorial Checklists</w:t>
      </w:r>
    </w:p>
    <w:p>
      <w:r>
        <w:t>Content gap analysis outlined missing specification tables and user buying guides for priority models.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22. SERP Feature Landscape &amp; Zero-Click Positioning</w:t>
      </w:r>
    </w:p>
    <w:p>
      <w:r>
        <w:t>SERP feature mapping highlights opportunities to capture People Also Ask (PAA) and Image Pack carousels.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23. Competitor Parity Matrix &amp; Strategic Differentiation</w:t>
      </w:r>
    </w:p>
    <w:p>
      <w:r>
        <w:t>Competitor parity evaluation benchmarked specification depth against leading Indian automotive portals (Bikewale, Zigwheels).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24. Answer Engine Optimization (AEO) &amp; Featured Snippet Extractability</w:t>
      </w:r>
    </w:p>
    <w:p>
      <w:r>
        <w:t>AEO analysis scored answer extractability and recommended structured FAQ definition blocks with concise single-sentence answers.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25. Generative Engine Optimization (GEO) &amp; AI Citation Readiness</w:t>
      </w:r>
    </w:p>
    <w:p>
      <w:r>
        <w:t>GEO readiness scoring confirmed high factual density, recommending explicit HTML tables to maximize citation likelihood in AI Overviews.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26. Freshness, Stale Content, and YMYL Regulatory Disclosures</w:t>
      </w:r>
    </w:p>
    <w:p>
      <w:r>
        <w:t>YMYL finance and loan disclosures were audited, verifying compliance with required interest rate and EMI calculator disclaimers.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27. Prioritized Action Matrix (P0/P1/P2/P3 with Effort/Confidence)</w:t>
      </w:r>
    </w:p>
    <w:p>
      <w:r>
        <w:t>Synthesized Opportunity Matrix prioritized by composite impact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8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Display ID</w:t>
            </w:r>
          </w:p>
        </w:tc>
        <w:tc>
          <w:tcPr>
            <w:tcW w:type="dxa" w:w="129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Recommended Action</w:t>
            </w:r>
          </w:p>
        </w:tc>
        <w:tc>
          <w:tcPr>
            <w:tcW w:type="dxa" w:w="100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15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72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86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SITE-TECH-001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SITE-TECH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sitemap url has 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74.2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TPL-SEO-001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sitemap url has 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missing title ac...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TPL-SEO-003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tpl_article_news_2seg layout to...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tpl_model_bikes_3seg layout to 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TPL-SEO-006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tpl_brand_electric-vehicles_2se...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TPL-SEO-007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tpl_article_featured-stories_2s...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TPL-SEO-009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Important architectural improvement: revise Individual 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TPL-SEO-013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Routine hygiene cleanup: review exact duplicate content...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TPL-SEO-019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Routine hygiene cleanup: review template orphan page on...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28. Verification Work Orders, Acceptance Criteria, and Test Specs</w:t>
      </w:r>
    </w:p>
    <w:p>
      <w:r>
        <w:t>Developer-ready work orders with automated test specs for deployment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Ticket ID</w:t>
            </w:r>
          </w:p>
        </w:tc>
        <w:tc>
          <w:tcPr>
            <w:tcW w:type="dxa" w:w="144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45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Verification Spec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[SEOJEV-ENG-001] Immediate engineering blocker: re...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SEOJEV-ENG-002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[SEOJEV-ENG-002] Immediate engineering blocker: re...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has_selector("title") and text_leng...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[SEOJEV-ENG-003] High-impact fix: update tpl_artic...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SEOJEV-ENG-004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[SEOJEV-ENG-004] High-impact fix: update tpl_model...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[SEOJEV-ENG-005] High-impact fix: update tpl_brand...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SEOJEV-ENG-006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[SEOJEV-ENG-006] High-impact fix: update tpl_artic...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[SEOJEV-ENG-007] Important architectural improveme...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SEOJEV-ENG-008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[SEOJEV-ENG-008] Routine hygiene cleanup: review e...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SEOJEV-ENG-009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[SEOJEV-ENG-009] Routine hygiene cleanup: review t...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SEOJEV-ENG-010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[SEOJEV-ENG-010] Routine hygiene cleanup: review t...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