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0" w:after="80"/>
      </w:pPr>
      <w:r>
        <w:rPr>
          <w:rFonts w:ascii="Arial" w:hAnsi="Arial"/>
          <w:b/>
          <w:color w:val="1B6EB5"/>
          <w:sz w:val="22"/>
        </w:rPr>
        <w:t>SEOJEV V2 — EXECUTIVE INTELLIGENCE SUMMARY</w:t>
        <w:br/>
      </w:r>
      <w:r>
        <w:rPr>
          <w:rFonts w:ascii="Arial" w:hAnsi="Arial"/>
          <w:b/>
          <w:color w:val="0F3870"/>
          <w:sz w:val="40"/>
        </w:rPr>
        <w:t>Ranking-Focused SEO, AEO &amp; GEO Intelligence: https://www.drivio.in/</w:t>
      </w:r>
    </w:p>
    <w:p>
      <w:pPr>
        <w:spacing w:after="400"/>
      </w:pPr>
      <w:r>
        <w:t>Audit Date: 2026-09-24 00:13:42 | Domain Target: https://www.drivio.in/</w:t>
      </w:r>
    </w:p>
    <w:p>
      <w:pPr>
        <w:pStyle w:val="Heading1"/>
      </w:pPr>
      <w:r>
        <w:rPr>
          <w:rFonts w:ascii="Arial" w:hAnsi="Arial"/>
          <w:color w:val="0F3870"/>
          <w:sz w:val="28"/>
        </w:rPr>
        <w:t>THE 14 EXECUTIVE QUESTIONS ANSWERED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F3870"/>
          </w:tcPr>
          <w:p>
            <w:r>
              <w:rPr>
                <w:b/>
                <w:color w:val="FFFFFF"/>
              </w:rPr>
              <w:t>Core Strategic Question</w:t>
            </w:r>
          </w:p>
        </w:tc>
        <w:tc>
          <w:tcPr>
            <w:tcW w:type="dxa" w:w="4320"/>
            <w:shd w:fill="0F3870"/>
          </w:tcPr>
          <w:p>
            <w:r>
              <w:rPr>
                <w:b/>
                <w:color w:val="FFFFFF"/>
              </w:rPr>
              <w:t>Audit Finding &amp; Actionable Diagnosis</w:t>
            </w:r>
          </w:p>
        </w:tc>
      </w:tr>
      <w:tr>
        <w:tc>
          <w:tcPr>
            <w:tcW w:type="dxa" w:w="432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</w:rPr>
              <w:t>1. How many pages were analyzed?</w:t>
            </w:r>
          </w:p>
        </w:tc>
        <w:tc>
          <w:tcPr>
            <w:tcW w:type="dxa" w:w="432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t>109 crawled URLs out of 3,171 discovered.</w:t>
            </w:r>
          </w:p>
        </w:tc>
      </w:tr>
      <w:tr>
        <w:tc>
          <w:tcPr>
            <w:tcW w:type="dxa" w:w="432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</w:rPr>
              <w:t>2. How many are indexable?</w:t>
            </w:r>
          </w:p>
        </w:tc>
        <w:tc>
          <w:tcPr>
            <w:tcW w:type="dxa" w:w="432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t>98 pages (89.9% of crawled set).</w:t>
            </w:r>
          </w:p>
        </w:tc>
      </w:tr>
      <w:tr>
        <w:tc>
          <w:tcPr>
            <w:tcW w:type="dxa" w:w="432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</w:rPr>
              <w:t>3. How many product/bike pages exist?</w:t>
            </w:r>
          </w:p>
        </w:tc>
        <w:tc>
          <w:tcPr>
            <w:tcW w:type="dxa" w:w="432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t>2 automotive product/model pages identified.</w:t>
            </w:r>
          </w:p>
        </w:tc>
      </w:tr>
      <w:tr>
        <w:tc>
          <w:tcPr>
            <w:tcW w:type="dxa" w:w="432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</w:rPr>
              <w:t>4. How many product pages have GSC data?</w:t>
            </w:r>
          </w:p>
        </w:tc>
        <w:tc>
          <w:tcPr>
            <w:tcW w:type="dxa" w:w="432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t>Ranking data unavailable. Connect Google Search Console data for query-level diagnosis.</w:t>
            </w:r>
          </w:p>
        </w:tc>
      </w:tr>
      <w:tr>
        <w:tc>
          <w:tcPr>
            <w:tcW w:type="dxa" w:w="432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</w:rPr>
              <w:t>5. How many pages rank in positions 11–20?</w:t>
            </w:r>
          </w:p>
        </w:tc>
        <w:tc>
          <w:tcPr>
            <w:tcW w:type="dxa" w:w="432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t>Connect GSC data to uncover positions 11–20 striking distance pages.</w:t>
            </w:r>
          </w:p>
        </w:tc>
      </w:tr>
      <w:tr>
        <w:tc>
          <w:tcPr>
            <w:tcW w:type="dxa" w:w="432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</w:rPr>
              <w:t>6. How many rank in positions 21–30?</w:t>
            </w:r>
          </w:p>
        </w:tc>
        <w:tc>
          <w:tcPr>
            <w:tcW w:type="dxa" w:w="432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t>Connect GSC data to uncover positions 21–30 query targets.</w:t>
            </w:r>
          </w:p>
        </w:tc>
      </w:tr>
      <w:tr>
        <w:tc>
          <w:tcPr>
            <w:tcW w:type="dxa" w:w="432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</w:rPr>
              <w:t>7. What are the largest template-level problems?</w:t>
            </w:r>
          </w:p>
        </w:tc>
        <w:tc>
          <w:tcPr>
            <w:tcW w:type="dxa" w:w="432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t>Sitemap Url Has Noindex (11 pages in 'tpl_model_Nmotors_2seg').</w:t>
            </w:r>
          </w:p>
        </w:tc>
      </w:tr>
      <w:tr>
        <w:tc>
          <w:tcPr>
            <w:tcW w:type="dxa" w:w="432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</w:rPr>
              <w:t>8. What are the largest product-page gaps?</w:t>
            </w:r>
          </w:p>
        </w:tc>
        <w:tc>
          <w:tcPr>
            <w:tcW w:type="dxa" w:w="432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t>Missing dedicated Variant matrices, localized On-Road price breakdowns, and competitor comparison modules.</w:t>
            </w:r>
          </w:p>
        </w:tc>
      </w:tr>
      <w:tr>
        <w:tc>
          <w:tcPr>
            <w:tcW w:type="dxa" w:w="432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</w:rPr>
              <w:t>9. What are the largest internal-link opportunities?</w:t>
            </w:r>
          </w:p>
        </w:tc>
        <w:tc>
          <w:tcPr>
            <w:tcW w:type="dxa" w:w="432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t>0 high-value model pages have weak inbound link equity (&lt;4 links) despite existing brand hubs.</w:t>
            </w:r>
          </w:p>
        </w:tc>
      </w:tr>
      <w:tr>
        <w:tc>
          <w:tcPr>
            <w:tcW w:type="dxa" w:w="432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</w:rPr>
              <w:t>10. What technical blockers exist?</w:t>
            </w:r>
          </w:p>
        </w:tc>
        <w:tc>
          <w:tcPr>
            <w:tcW w:type="dxa" w:w="432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t>13 critical blockers (HTTP 4xx errors, non-indexable URLs in XML sitemaps, redirect loops).</w:t>
            </w:r>
          </w:p>
        </w:tc>
      </w:tr>
      <w:tr>
        <w:tc>
          <w:tcPr>
            <w:tcW w:type="dxa" w:w="432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</w:rPr>
              <w:t>11. What content gaps exist?</w:t>
            </w:r>
          </w:p>
        </w:tc>
        <w:tc>
          <w:tcPr>
            <w:tcW w:type="dxa" w:w="432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t>Commercial content gaps: thin specification tables, missing variant price breakdowns, and absent FAQ accordions.</w:t>
            </w:r>
          </w:p>
        </w:tc>
      </w:tr>
      <w:tr>
        <w:tc>
          <w:tcPr>
            <w:tcW w:type="dxa" w:w="432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</w:rPr>
              <w:t>12. What AEO gaps exist?</w:t>
            </w:r>
          </w:p>
        </w:tc>
        <w:tc>
          <w:tcPr>
            <w:tcW w:type="dxa" w:w="432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t>AEO Readiness: 20.1/100. Key gap: missing structured Q&amp;A and FAQPage JSON-LD schema.</w:t>
            </w:r>
          </w:p>
        </w:tc>
      </w:tr>
      <w:tr>
        <w:tc>
          <w:tcPr>
            <w:tcW w:type="dxa" w:w="432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</w:rPr>
              <w:t>13. What GEO structural gaps exist?</w:t>
            </w:r>
          </w:p>
        </w:tc>
        <w:tc>
          <w:tcPr>
            <w:tcW w:type="dxa" w:w="432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t>GEO Readiness: 25.3/100. Key gap: inconsistent Brand/Model entity naming across schema and metadata.</w:t>
            </w:r>
          </w:p>
        </w:tc>
      </w:tr>
      <w:tr>
        <w:tc>
          <w:tcPr>
            <w:tcW w:type="dxa" w:w="432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</w:rPr>
              <w:t>14. What should be fixed first?</w:t>
            </w:r>
          </w:p>
        </w:tc>
        <w:tc>
          <w:tcPr>
            <w:tcW w:type="dxa" w:w="432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t>Phase 1: Clear technical 4xx/sitemap blockers; Phase 2: Deploy variant matrices &amp; FAQ schema on Bike Model templates; Phase 3: Add contextual internal links from Brand hubs to model pages.</w:t>
            </w:r>
          </w:p>
        </w:tc>
      </w:tr>
    </w:tbl>
    <w:p>
      <w:pPr>
        <w:pStyle w:val="Heading2"/>
      </w:pPr>
      <w:r>
        <w:rPr>
          <w:rFonts w:ascii="Arial" w:hAnsi="Arial"/>
          <w:color w:val="1B6EB5"/>
          <w:sz w:val="26"/>
        </w:rPr>
        <w:t>IMMEDIATE PRIORITIES (NEXT 14 DAYS)</w:t>
      </w:r>
    </w:p>
    <w:p>
      <w:r>
        <w:rPr>
          <w:b/>
        </w:rPr>
        <w:t xml:space="preserve">1. Template Engineering Fix: </w:t>
      </w:r>
      <w:r>
        <w:t>Update the Bike Model layout to render structured variants, specifications, and FAQPage schema across all 2 models.</w:t>
        <w:br/>
      </w:r>
      <w:r>
        <w:rPr>
          <w:b/>
        </w:rPr>
        <w:t xml:space="preserve">2. Internal Linking Injections: </w:t>
      </w:r>
      <w:r>
        <w:t>Inject direct contextual links from Brand parent hubs (e.g. /bikes/tvs) directly to priority model URLs.</w:t>
        <w:br/>
      </w:r>
      <w:r>
        <w:rPr>
          <w:b/>
        </w:rPr>
        <w:t xml:space="preserve">3. GSC Query-CTR Alignment: </w:t>
      </w:r>
      <w:r>
        <w:t>For striking-distance queries (positions 11-20), align title tags with observed commercial intent (e.g., adding 'Price, Variants, Mileage &amp; Specs').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