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Integrity Policy</w:t>
      </w:r>
    </w:p>
    <w:p>
      <w:r>
        <w:t>SYNTHETIC DATA: generated for development and testing, not an official AMYPO document.</w:t>
      </w:r>
    </w:p>
    <w:p>
      <w:pPr>
        <w:pStyle w:val="Heading1"/>
      </w:pPr>
      <w:r>
        <w:t>Plagiarism</w:t>
      </w:r>
    </w:p>
    <w:p>
      <w:r>
        <w:t>Project reports and assignments are checked for similarity. A similarity above 30% requires resubmission. A similarity above 50% results in zero marks for that submission.</w:t>
      </w:r>
    </w:p>
    <w:p>
      <w:pPr>
        <w:pStyle w:val="Heading1"/>
      </w:pPr>
      <w:r>
        <w:t>Use of AI Tools</w:t>
      </w:r>
    </w:p>
    <w:p>
      <w:r>
        <w:t>Students may use AI tools for assignments only if their use is declared in the submission. Undeclared use is treated as plagiarism.</w:t>
      </w:r>
    </w:p>
    <w:p>
      <w:pPr>
        <w:pStyle w:val="Heading1"/>
      </w:pPr>
      <w:r>
        <w:t>Examination Malpractice</w:t>
      </w:r>
    </w:p>
    <w:p>
      <w:r>
        <w:t>For a first offence of examination malpractice, the examination for that course is cancelled. A second offence cancels all examinations of that semester. A third offence leads to expulsion.</w:t>
      </w:r>
    </w:p>
    <w:p>
      <w:pPr>
        <w:pStyle w:val="Heading1"/>
      </w:pPr>
      <w:r>
        <w:t>Appeals</w:t>
      </w:r>
    </w:p>
    <w:p>
      <w:r>
        <w:t>Decisions of the Academic Integrity Committee may be appealed within 15 days to the Dean of Academics.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AMYPO synthetic data generator</dc:creator>
  <cp:keywords/>
  <dc:description>generated by python-docx</dc:description>
  <cp:lastModifiedBy>gen_synthetic</cp:lastModifiedBy>
  <cp:revision>1</cp:revision>
  <dcterms:created xsi:type="dcterms:W3CDTF">2026-01-01T00:00:00Z</dcterms:created>
  <dcterms:modified xsi:type="dcterms:W3CDTF">2026-01-01T00:00:00Z</dcterms:modified>
  <cp:category/>
</cp:coreProperties>
</file>