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pPr>
      <w:r>
        <w:t xml:space="preserve"/>
      </w:r>
    </w:p>
    <w:p>
      <w:pPr>
        <w:spacing w:after="30" w:before="0"/>
        <w:jc w:val="center"/>
      </w:pPr>
      <w:r>
        <w:rPr>
          <w:rFonts w:ascii="Arial" w:cs="Arial" w:eastAsia="Arial" w:hAnsi="Arial"/>
          <w:b/>
          <w:bCs/>
          <w:color w:val="1F4E79"/>
          <w:sz w:val="72"/>
          <w:szCs w:val="72"/>
        </w:rPr>
        <w:t xml:space="preserve">[LIB NAME]</w:t>
      </w:r>
    </w:p>
    <w:p>
      <w:pPr>
        <w:spacing w:after="30" w:before="0"/>
        <w:jc w:val="center"/>
      </w:pPr>
      <w:r>
        <w:rPr>
          <w:rFonts w:ascii="Arial" w:cs="Arial" w:eastAsia="Arial" w:hAnsi="Arial"/>
          <w:color w:val="2E75B6"/>
          <w:sz w:val="36"/>
          <w:szCs w:val="36"/>
        </w:rPr>
        <w:t xml:space="preserve">Unified LLM Client Library</w:t>
      </w:r>
    </w:p>
    <w:p>
      <w:pPr>
        <w:spacing w:after="30" w:before="0"/>
        <w:jc w:val="center"/>
      </w:pPr>
      <w:r>
        <w:rPr>
          <w:rFonts w:ascii="Arial" w:cs="Arial" w:eastAsia="Arial" w:hAnsi="Arial"/>
          <w:color w:val="424242"/>
          <w:sz w:val="28"/>
          <w:szCs w:val="28"/>
        </w:rPr>
        <w:t xml:space="preserve">Implementation Task &amp; Subtask Report</w:t>
      </w:r>
    </w:p>
    <w:p>
      <w:pPr>
        <w:spacing w:after="80" w:before="0"/>
        <w:jc w:val="center"/>
      </w:pPr>
      <w:r>
        <w:rPr>
          <w:rFonts w:ascii="Arial" w:cs="Arial" w:eastAsia="Arial" w:hAnsi="Arial"/>
          <w:i/>
          <w:iCs/>
          <w:color w:val="888888"/>
          <w:sz w:val="22"/>
          <w:szCs w:val="22"/>
        </w:rPr>
        <w:t xml:space="preserve">Version 1.0  ·  April 2026  ·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2E75B6" w:sz="14"/>
              <w:right w:val="none" w:color="FFFFFF" w:sz="0"/>
            </w:tcBorders>
          </w:tcPr>
          <w:p>
            <w:r>
              <w:t xml:space="preserve"/>
            </w:r>
          </w:p>
        </w:tc>
      </w:tr>
    </w:tbl>
    <w:p>
      <w:pPr>
        <w:spacing w:after="0" w:before="16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Field</w:t>
            </w:r>
          </w:p>
        </w:tc>
        <w:tc>
          <w:tcPr>
            <w:tcW w:type="dxa" w:w="7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Library</w:t>
            </w:r>
          </w:p>
        </w:tc>
        <w:tc>
          <w:tcPr>
            <w:tcW w:type="dxa" w:w="70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[LIB NAME] — Unified LLM Client Library</w:t>
            </w:r>
          </w:p>
        </w:tc>
      </w:tr>
      <w:tr>
        <w:tc>
          <w:tcPr>
            <w:tcW w:type="dxa" w:w="3000"/>
            <w:tcBorders>
              <w:top w:val="single" w:color="CCCCCC" w:sz="1"/>
              <w:left w:val="single" w:color="CCCCCC" w:sz="1"/>
              <w:bottom w:val="single" w:color="CCCCCC" w:sz="1"/>
              <w:right w:val="single" w:color="CCCCCC" w:sz="1"/>
            </w:tcBorders>
            <w:shd w:fill="F5F5F5" w:val="clear"/>
            <w:tcMar>
              <w:top w:type="dxa" w:w="75"/>
              <w:left w:type="dxa" w:w="100"/>
              <w:bottom w:type="dxa" w:w="75"/>
              <w:right w:type="dxa" w:w="100"/>
            </w:tcMar>
          </w:tcPr>
          <w:p>
            <w:r>
              <w:rPr>
                <w:rFonts w:ascii="Arial" w:cs="Arial" w:eastAsia="Arial" w:hAnsi="Arial"/>
                <w:color w:val="1A1A1A"/>
                <w:sz w:val="20"/>
                <w:szCs w:val="20"/>
              </w:rPr>
              <w:t xml:space="preserve">Document</w:t>
            </w:r>
          </w:p>
        </w:tc>
        <w:tc>
          <w:tcPr>
            <w:tcW w:type="dxa" w:w="7000"/>
            <w:tcBorders>
              <w:top w:val="single" w:color="CCCCCC" w:sz="1"/>
              <w:left w:val="single" w:color="CCCCCC" w:sz="1"/>
              <w:bottom w:val="single" w:color="CCCCCC" w:sz="1"/>
              <w:right w:val="single" w:color="CCCCCC" w:sz="1"/>
            </w:tcBorders>
            <w:shd w:fill="F5F5F5" w:val="clear"/>
            <w:tcMar>
              <w:top w:type="dxa" w:w="75"/>
              <w:left w:type="dxa" w:w="100"/>
              <w:bottom w:type="dxa" w:w="75"/>
              <w:right w:type="dxa" w:w="100"/>
            </w:tcMar>
          </w:tcPr>
          <w:p>
            <w:r>
              <w:rPr>
                <w:rFonts w:ascii="Arial" w:cs="Arial" w:eastAsia="Arial" w:hAnsi="Arial"/>
                <w:color w:val="1A1A1A"/>
                <w:sz w:val="20"/>
                <w:szCs w:val="20"/>
              </w:rPr>
              <w:t xml:space="preserve">Implementation Task &amp; Subtask Report v1.0</w:t>
            </w:r>
          </w:p>
        </w:tc>
      </w:tr>
      <w:tr>
        <w:tc>
          <w:tcPr>
            <w:tcW w:type="dxa" w:w="30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Date</w:t>
            </w:r>
          </w:p>
        </w:tc>
        <w:tc>
          <w:tcPr>
            <w:tcW w:type="dxa" w:w="70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April 2026</w:t>
            </w:r>
          </w:p>
        </w:tc>
      </w:tr>
      <w:tr>
        <w:tc>
          <w:tcPr>
            <w:tcW w:type="dxa" w:w="3000"/>
            <w:tcBorders>
              <w:top w:val="single" w:color="CCCCCC" w:sz="1"/>
              <w:left w:val="single" w:color="CCCCCC" w:sz="1"/>
              <w:bottom w:val="single" w:color="CCCCCC" w:sz="1"/>
              <w:right w:val="single" w:color="CCCCCC" w:sz="1"/>
            </w:tcBorders>
            <w:shd w:fill="F5F5F5" w:val="clear"/>
            <w:tcMar>
              <w:top w:type="dxa" w:w="75"/>
              <w:left w:type="dxa" w:w="100"/>
              <w:bottom w:type="dxa" w:w="75"/>
              <w:right w:type="dxa" w:w="100"/>
            </w:tcMar>
          </w:tcPr>
          <w:p>
            <w:r>
              <w:rPr>
                <w:rFonts w:ascii="Arial" w:cs="Arial" w:eastAsia="Arial" w:hAnsi="Arial"/>
                <w:color w:val="1A1A1A"/>
                <w:sz w:val="20"/>
                <w:szCs w:val="20"/>
              </w:rPr>
              <w:t xml:space="preserve">Providers</w:t>
            </w:r>
          </w:p>
        </w:tc>
        <w:tc>
          <w:tcPr>
            <w:tcW w:type="dxa" w:w="7000"/>
            <w:tcBorders>
              <w:top w:val="single" w:color="CCCCCC" w:sz="1"/>
              <w:left w:val="single" w:color="CCCCCC" w:sz="1"/>
              <w:bottom w:val="single" w:color="CCCCCC" w:sz="1"/>
              <w:right w:val="single" w:color="CCCCCC" w:sz="1"/>
            </w:tcBorders>
            <w:shd w:fill="F5F5F5" w:val="clear"/>
            <w:tcMar>
              <w:top w:type="dxa" w:w="75"/>
              <w:left w:type="dxa" w:w="100"/>
              <w:bottom w:type="dxa" w:w="75"/>
              <w:right w:type="dxa" w:w="100"/>
            </w:tcMar>
          </w:tcPr>
          <w:p>
            <w:r>
              <w:rPr>
                <w:rFonts w:ascii="Arial" w:cs="Arial" w:eastAsia="Arial" w:hAnsi="Arial"/>
                <w:color w:val="1A1A1A"/>
                <w:sz w:val="20"/>
                <w:szCs w:val="20"/>
              </w:rPr>
              <w:t xml:space="preserve">Anthropic (Claude), OpenAI (GPT/o-series), Google Gemini</w:t>
            </w:r>
          </w:p>
        </w:tc>
      </w:tr>
      <w:tr>
        <w:tc>
          <w:tcPr>
            <w:tcW w:type="dxa" w:w="30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Total Tasks</w:t>
            </w:r>
          </w:p>
        </w:tc>
        <w:tc>
          <w:tcPr>
            <w:tcW w:type="dxa" w:w="70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23 tasks, 120+ subtasks</w:t>
            </w:r>
          </w:p>
        </w:tc>
      </w:tr>
      <w:tr>
        <w:tc>
          <w:tcPr>
            <w:tcW w:type="dxa" w:w="3000"/>
            <w:tcBorders>
              <w:top w:val="single" w:color="CCCCCC" w:sz="1"/>
              <w:left w:val="single" w:color="CCCCCC" w:sz="1"/>
              <w:bottom w:val="single" w:color="CCCCCC" w:sz="1"/>
              <w:right w:val="single" w:color="CCCCCC" w:sz="1"/>
            </w:tcBorders>
            <w:shd w:fill="F5F5F5" w:val="clear"/>
            <w:tcMar>
              <w:top w:type="dxa" w:w="75"/>
              <w:left w:type="dxa" w:w="100"/>
              <w:bottom w:type="dxa" w:w="75"/>
              <w:right w:type="dxa" w:w="100"/>
            </w:tcMar>
          </w:tcPr>
          <w:p>
            <w:r>
              <w:rPr>
                <w:rFonts w:ascii="Arial" w:cs="Arial" w:eastAsia="Arial" w:hAnsi="Arial"/>
                <w:color w:val="1A1A1A"/>
                <w:sz w:val="20"/>
                <w:szCs w:val="20"/>
              </w:rPr>
              <w:t xml:space="preserve">Total Phases</w:t>
            </w:r>
          </w:p>
        </w:tc>
        <w:tc>
          <w:tcPr>
            <w:tcW w:type="dxa" w:w="7000"/>
            <w:tcBorders>
              <w:top w:val="single" w:color="CCCCCC" w:sz="1"/>
              <w:left w:val="single" w:color="CCCCCC" w:sz="1"/>
              <w:bottom w:val="single" w:color="CCCCCC" w:sz="1"/>
              <w:right w:val="single" w:color="CCCCCC" w:sz="1"/>
            </w:tcBorders>
            <w:shd w:fill="F5F5F5" w:val="clear"/>
            <w:tcMar>
              <w:top w:type="dxa" w:w="75"/>
              <w:left w:type="dxa" w:w="100"/>
              <w:bottom w:type="dxa" w:w="75"/>
              <w:right w:type="dxa" w:w="100"/>
            </w:tcMar>
          </w:tcPr>
          <w:p>
            <w:r>
              <w:rPr>
                <w:rFonts w:ascii="Arial" w:cs="Arial" w:eastAsia="Arial" w:hAnsi="Arial"/>
                <w:color w:val="1A1A1A"/>
                <w:sz w:val="20"/>
                <w:szCs w:val="20"/>
              </w:rPr>
              <w:t xml:space="preserve">7 phases</w:t>
            </w:r>
          </w:p>
        </w:tc>
      </w:tr>
      <w:tr>
        <w:tc>
          <w:tcPr>
            <w:tcW w:type="dxa" w:w="30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Estimated Total Effort</w:t>
            </w:r>
          </w:p>
        </w:tc>
        <w:tc>
          <w:tcPr>
            <w:tcW w:type="dxa" w:w="70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~35–40 engineering days</w:t>
            </w:r>
          </w:p>
        </w:tc>
      </w:tr>
      <w:tr>
        <w:tc>
          <w:tcPr>
            <w:tcW w:type="dxa" w:w="3000"/>
            <w:tcBorders>
              <w:top w:val="single" w:color="CCCCCC" w:sz="1"/>
              <w:left w:val="single" w:color="CCCCCC" w:sz="1"/>
              <w:bottom w:val="single" w:color="CCCCCC" w:sz="1"/>
              <w:right w:val="single" w:color="CCCCCC" w:sz="1"/>
            </w:tcBorders>
            <w:shd w:fill="F5F5F5" w:val="clear"/>
            <w:tcMar>
              <w:top w:type="dxa" w:w="75"/>
              <w:left w:type="dxa" w:w="100"/>
              <w:bottom w:type="dxa" w:w="75"/>
              <w:right w:type="dxa" w:w="100"/>
            </w:tcMar>
          </w:tcPr>
          <w:p>
            <w:r>
              <w:rPr>
                <w:rFonts w:ascii="Arial" w:cs="Arial" w:eastAsia="Arial" w:hAnsi="Arial"/>
                <w:color w:val="1A1A1A"/>
                <w:sz w:val="20"/>
                <w:szCs w:val="20"/>
              </w:rPr>
              <w:t xml:space="preserve">Priority Levels</w:t>
            </w:r>
          </w:p>
        </w:tc>
        <w:tc>
          <w:tcPr>
            <w:tcW w:type="dxa" w:w="7000"/>
            <w:tcBorders>
              <w:top w:val="single" w:color="CCCCCC" w:sz="1"/>
              <w:left w:val="single" w:color="CCCCCC" w:sz="1"/>
              <w:bottom w:val="single" w:color="CCCCCC" w:sz="1"/>
              <w:right w:val="single" w:color="CCCCCC" w:sz="1"/>
            </w:tcBorders>
            <w:shd w:fill="F5F5F5" w:val="clear"/>
            <w:tcMar>
              <w:top w:type="dxa" w:w="75"/>
              <w:left w:type="dxa" w:w="100"/>
              <w:bottom w:type="dxa" w:w="75"/>
              <w:right w:type="dxa" w:w="100"/>
            </w:tcMar>
          </w:tcPr>
          <w:p>
            <w:r>
              <w:rPr>
                <w:rFonts w:ascii="Arial" w:cs="Arial" w:eastAsia="Arial" w:hAnsi="Arial"/>
                <w:color w:val="1A1A1A"/>
                <w:sz w:val="20"/>
                <w:szCs w:val="20"/>
              </w:rPr>
              <w:t xml:space="preserve">P0 = MVP blocker · P1 = Phase 2 required · P2 = Phase 3+</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10"/>
              <w:left w:type="dxa" w:w="180"/>
              <w:bottom w:type="dxa" w:w="110"/>
              <w:right w:type="dxa" w:w="180"/>
            </w:tcMar>
          </w:tcPr>
          <w:p>
            <w:pPr>
              <w:spacing w:after="40" w:before="0"/>
            </w:pPr>
            <w:r>
              <w:rPr>
                <w:rFonts w:ascii="Arial" w:cs="Arial" w:eastAsia="Arial" w:hAnsi="Arial"/>
                <w:b/>
                <w:bCs/>
                <w:color w:val="1F4E79"/>
                <w:sz w:val="22"/>
                <w:szCs w:val="22"/>
              </w:rPr>
              <w:t xml:space="preserve">Inspiration: OpenAI Responses API</w:t>
            </w:r>
          </w:p>
          <w:p>
            <w:pPr>
              <w:spacing w:after="0" w:before="0"/>
            </w:pPr>
            <w:r>
              <w:rPr>
                <w:rFonts w:ascii="Arial" w:cs="Arial" w:eastAsia="Arial" w:hAnsi="Arial"/>
                <w:color w:val="1A1A1A"/>
                <w:sz w:val="22"/>
                <w:szCs w:val="22"/>
              </w:rPr>
              <w:t xml:space="preserve">OpenAI's Responses API (POST /responses) stores conversation state server-side and lets callers pass previous_response_id instead of the full history. Section T-19/T-20 implements the equivalent for our library — but provider-agnostic, stored in our own Postgres/Redis session store, supporting Anthropic + OpenAI + Gemini equally.</w:t>
            </w:r>
          </w:p>
        </w:tc>
      </w:tr>
    </w:tbl>
    <w:p>
      <w:r>
        <w:br w:type="page"/>
      </w:r>
    </w:p>
    <w:p>
      <w:pPr>
        <w:pStyle w:val="Heading1"/>
        <w:pBdr>
          <w:bottom w:val="single" w:color="2E75B6" w:sz="8" w:space="4"/>
        </w:pBdr>
        <w:spacing w:after="120" w:before="360"/>
      </w:pPr>
      <w:r>
        <w:rPr>
          <w:rFonts w:ascii="Arial" w:cs="Arial" w:eastAsia="Arial" w:hAnsi="Arial"/>
          <w:b/>
          <w:bCs/>
          <w:color w:val="1F4E79"/>
          <w:sz w:val="36"/>
          <w:szCs w:val="36"/>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r>
              <w:rPr>
                <w:rFonts w:ascii="Arial" w:cs="Arial" w:eastAsia="Arial" w:hAnsi="Arial"/>
                <w:b/>
                <w:bCs/>
                <w:color w:val="FFFFFF"/>
                <w:sz w:val="30"/>
                <w:szCs w:val="30"/>
              </w:rPr>
              <w:t xml:space="preserve">Summary &amp; Effort Overview</w:t>
            </w:r>
          </w:p>
        </w:tc>
      </w:tr>
    </w:tbl>
    <w:p>
      <w:pPr>
        <w:spacing w:after="0" w:before="60"/>
      </w:pPr>
      <w:r>
        <w:t xml:space="preserve"/>
      </w:r>
    </w:p>
    <w:p>
      <w:pPr>
        <w:pStyle w:val="Heading1"/>
        <w:pBdr>
          <w:bottom w:val="single" w:color="2E75B6" w:sz="8" w:space="4"/>
        </w:pBdr>
        <w:spacing w:after="120" w:before="360"/>
      </w:pPr>
      <w:r>
        <w:rPr>
          <w:rFonts w:ascii="Arial" w:cs="Arial" w:eastAsia="Arial" w:hAnsi="Arial"/>
          <w:b/>
          <w:bCs/>
          <w:color w:val="1F4E79"/>
          <w:sz w:val="36"/>
          <w:szCs w:val="36"/>
        </w:rPr>
        <w:t xml:space="preserve">Summary &amp; Effort Overview</w:t>
      </w:r>
    </w:p>
    <w:p>
      <w:pPr>
        <w:spacing w:after="70" w:before="70"/>
      </w:pPr>
      <w:r>
        <w:rPr>
          <w:rFonts w:ascii="Arial" w:cs="Arial" w:eastAsia="Arial" w:hAnsi="Arial"/>
          <w:color w:val="1A1A1A"/>
          <w:sz w:val="22"/>
          <w:szCs w:val="22"/>
        </w:rPr>
        <w:t xml:space="preserve">All 23 tasks are broken into 7 phases. Each phase can be worked on in parallel within the phase where tasks are independent. Critical path: T-01 → T-02 → T-03 → T-08/T-09/T-10 → T-14/T-15 → T-18 → T-19.</w:t>
      </w:r>
    </w:p>
    <w:p>
      <w:pPr>
        <w:spacing w:after="0" w:before="5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1500"/>
        <w:gridCol w:w="1400"/>
        <w:gridCol w:w="396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Phase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Scope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Tasks</w:t>
            </w:r>
          </w:p>
        </w:tc>
        <w:tc>
          <w:tcPr>
            <w:tcW w:type="dxa" w:w="1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Est. Effort</w:t>
            </w:r>
          </w:p>
        </w:tc>
        <w:tc>
          <w:tcPr>
            <w:tcW w:type="dxa" w:w="39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Key Deliverable</w:t>
            </w:r>
          </w:p>
        </w:tc>
      </w:tr>
      <w:tr>
        <w:tc>
          <w:tcPr>
            <w:tcW w:type="dxa" w:w="7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Phase 1</w:t>
            </w:r>
          </w:p>
        </w:tc>
        <w:tc>
          <w:tcPr>
            <w:tcW w:type="dxa" w:w="28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Foundation: project setup, types, utilities</w:t>
            </w:r>
          </w:p>
        </w:tc>
        <w:tc>
          <w:tcPr>
            <w:tcW w:type="dxa" w:w="15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T-01 → T-07</w:t>
            </w:r>
          </w:p>
        </w:tc>
        <w:tc>
          <w:tcPr>
            <w:tcW w:type="dxa" w:w="14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5–6 days</w:t>
            </w:r>
          </w:p>
        </w:tc>
        <w:tc>
          <w:tcPr>
            <w:tcW w:type="dxa" w:w="396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TypeScript skeleton with all shared utilities tested</w:t>
            </w:r>
          </w:p>
        </w:tc>
      </w:tr>
      <w:tr>
        <w:tc>
          <w:tcPr>
            <w:tcW w:type="dxa" w:w="700"/>
            <w:tcBorders>
              <w:top w:val="single" w:color="CCCCCC" w:sz="1"/>
              <w:left w:val="single" w:color="CCCCCC" w:sz="1"/>
              <w:bottom w:val="single" w:color="CCCCCC" w:sz="1"/>
              <w:right w:val="single" w:color="CCCCCC" w:sz="1"/>
            </w:tcBorders>
            <w:shd w:fill="F5F5F5" w:val="clear"/>
            <w:tcMar>
              <w:top w:type="dxa" w:w="75"/>
              <w:left w:type="dxa" w:w="100"/>
              <w:bottom w:type="dxa" w:w="75"/>
              <w:right w:type="dxa" w:w="100"/>
            </w:tcMar>
          </w:tcPr>
          <w:p>
            <w:r>
              <w:rPr>
                <w:rFonts w:ascii="Arial" w:cs="Arial" w:eastAsia="Arial" w:hAnsi="Arial"/>
                <w:color w:val="1A1A1A"/>
                <w:sz w:val="20"/>
                <w:szCs w:val="20"/>
              </w:rPr>
              <w:t xml:space="preserve">Phase 2</w:t>
            </w:r>
          </w:p>
        </w:tc>
        <w:tc>
          <w:tcPr>
            <w:tcW w:type="dxa" w:w="2800"/>
            <w:tcBorders>
              <w:top w:val="single" w:color="CCCCCC" w:sz="1"/>
              <w:left w:val="single" w:color="CCCCCC" w:sz="1"/>
              <w:bottom w:val="single" w:color="CCCCCC" w:sz="1"/>
              <w:right w:val="single" w:color="CCCCCC" w:sz="1"/>
            </w:tcBorders>
            <w:shd w:fill="F5F5F5" w:val="clear"/>
            <w:tcMar>
              <w:top w:type="dxa" w:w="75"/>
              <w:left w:type="dxa" w:w="100"/>
              <w:bottom w:type="dxa" w:w="75"/>
              <w:right w:type="dxa" w:w="100"/>
            </w:tcMar>
          </w:tcPr>
          <w:p>
            <w:r>
              <w:rPr>
                <w:rFonts w:ascii="Arial" w:cs="Arial" w:eastAsia="Arial" w:hAnsi="Arial"/>
                <w:color w:val="1A1A1A"/>
                <w:sz w:val="20"/>
                <w:szCs w:val="20"/>
              </w:rPr>
              <w:t xml:space="preserve">Provider adapters: raw fetch for all 3 providers</w:t>
            </w:r>
          </w:p>
        </w:tc>
        <w:tc>
          <w:tcPr>
            <w:tcW w:type="dxa" w:w="1500"/>
            <w:tcBorders>
              <w:top w:val="single" w:color="CCCCCC" w:sz="1"/>
              <w:left w:val="single" w:color="CCCCCC" w:sz="1"/>
              <w:bottom w:val="single" w:color="CCCCCC" w:sz="1"/>
              <w:right w:val="single" w:color="CCCCCC" w:sz="1"/>
            </w:tcBorders>
            <w:shd w:fill="F5F5F5" w:val="clear"/>
            <w:tcMar>
              <w:top w:type="dxa" w:w="75"/>
              <w:left w:type="dxa" w:w="100"/>
              <w:bottom w:type="dxa" w:w="75"/>
              <w:right w:type="dxa" w:w="100"/>
            </w:tcMar>
          </w:tcPr>
          <w:p>
            <w:r>
              <w:rPr>
                <w:rFonts w:ascii="Arial" w:cs="Arial" w:eastAsia="Arial" w:hAnsi="Arial"/>
                <w:color w:val="1A1A1A"/>
                <w:sz w:val="20"/>
                <w:szCs w:val="20"/>
              </w:rPr>
              <w:t xml:space="preserve">T-08 → T-10</w:t>
            </w:r>
          </w:p>
        </w:tc>
        <w:tc>
          <w:tcPr>
            <w:tcW w:type="dxa" w:w="1400"/>
            <w:tcBorders>
              <w:top w:val="single" w:color="CCCCCC" w:sz="1"/>
              <w:left w:val="single" w:color="CCCCCC" w:sz="1"/>
              <w:bottom w:val="single" w:color="CCCCCC" w:sz="1"/>
              <w:right w:val="single" w:color="CCCCCC" w:sz="1"/>
            </w:tcBorders>
            <w:shd w:fill="F5F5F5" w:val="clear"/>
            <w:tcMar>
              <w:top w:type="dxa" w:w="75"/>
              <w:left w:type="dxa" w:w="100"/>
              <w:bottom w:type="dxa" w:w="75"/>
              <w:right w:type="dxa" w:w="100"/>
            </w:tcMar>
          </w:tcPr>
          <w:p>
            <w:r>
              <w:rPr>
                <w:rFonts w:ascii="Arial" w:cs="Arial" w:eastAsia="Arial" w:hAnsi="Arial"/>
                <w:color w:val="1A1A1A"/>
                <w:sz w:val="20"/>
                <w:szCs w:val="20"/>
              </w:rPr>
              <w:t xml:space="preserve">7–8 days</w:t>
            </w:r>
          </w:p>
        </w:tc>
        <w:tc>
          <w:tcPr>
            <w:tcW w:type="dxa" w:w="3960"/>
            <w:tcBorders>
              <w:top w:val="single" w:color="CCCCCC" w:sz="1"/>
              <w:left w:val="single" w:color="CCCCCC" w:sz="1"/>
              <w:bottom w:val="single" w:color="CCCCCC" w:sz="1"/>
              <w:right w:val="single" w:color="CCCCCC" w:sz="1"/>
            </w:tcBorders>
            <w:shd w:fill="F5F5F5" w:val="clear"/>
            <w:tcMar>
              <w:top w:type="dxa" w:w="75"/>
              <w:left w:type="dxa" w:w="100"/>
              <w:bottom w:type="dxa" w:w="75"/>
              <w:right w:type="dxa" w:w="100"/>
            </w:tcMar>
          </w:tcPr>
          <w:p>
            <w:r>
              <w:rPr>
                <w:rFonts w:ascii="Arial" w:cs="Arial" w:eastAsia="Arial" w:hAnsi="Arial"/>
                <w:color w:val="1A1A1A"/>
                <w:sz w:val="20"/>
                <w:szCs w:val="20"/>
              </w:rPr>
              <w:t xml:space="preserve">All 3 providers working end-to-end with mock tests</w:t>
            </w:r>
          </w:p>
        </w:tc>
      </w:tr>
      <w:tr>
        <w:tc>
          <w:tcPr>
            <w:tcW w:type="dxa" w:w="7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Phase 3</w:t>
            </w:r>
          </w:p>
        </w:tc>
        <w:tc>
          <w:tcPr>
            <w:tcW w:type="dxa" w:w="28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Conversation manager + session store</w:t>
            </w:r>
          </w:p>
        </w:tc>
        <w:tc>
          <w:tcPr>
            <w:tcW w:type="dxa" w:w="15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T-11 → T-13</w:t>
            </w:r>
          </w:p>
        </w:tc>
        <w:tc>
          <w:tcPr>
            <w:tcW w:type="dxa" w:w="14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5–6 days</w:t>
            </w:r>
          </w:p>
        </w:tc>
        <w:tc>
          <w:tcPr>
            <w:tcW w:type="dxa" w:w="396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Stateful conversations with context trimming + DB persistence</w:t>
            </w:r>
          </w:p>
        </w:tc>
      </w:tr>
      <w:tr>
        <w:tc>
          <w:tcPr>
            <w:tcW w:type="dxa" w:w="700"/>
            <w:tcBorders>
              <w:top w:val="single" w:color="CCCCCC" w:sz="1"/>
              <w:left w:val="single" w:color="CCCCCC" w:sz="1"/>
              <w:bottom w:val="single" w:color="CCCCCC" w:sz="1"/>
              <w:right w:val="single" w:color="CCCCCC" w:sz="1"/>
            </w:tcBorders>
            <w:shd w:fill="F5F5F5" w:val="clear"/>
            <w:tcMar>
              <w:top w:type="dxa" w:w="75"/>
              <w:left w:type="dxa" w:w="100"/>
              <w:bottom w:type="dxa" w:w="75"/>
              <w:right w:type="dxa" w:w="100"/>
            </w:tcMar>
          </w:tcPr>
          <w:p>
            <w:r>
              <w:rPr>
                <w:rFonts w:ascii="Arial" w:cs="Arial" w:eastAsia="Arial" w:hAnsi="Arial"/>
                <w:color w:val="1A1A1A"/>
                <w:sz w:val="20"/>
                <w:szCs w:val="20"/>
              </w:rPr>
              <w:t xml:space="preserve">Phase 4</w:t>
            </w:r>
          </w:p>
        </w:tc>
        <w:tc>
          <w:tcPr>
            <w:tcW w:type="dxa" w:w="2800"/>
            <w:tcBorders>
              <w:top w:val="single" w:color="CCCCCC" w:sz="1"/>
              <w:left w:val="single" w:color="CCCCCC" w:sz="1"/>
              <w:bottom w:val="single" w:color="CCCCCC" w:sz="1"/>
              <w:right w:val="single" w:color="CCCCCC" w:sz="1"/>
            </w:tcBorders>
            <w:shd w:fill="F5F5F5" w:val="clear"/>
            <w:tcMar>
              <w:top w:type="dxa" w:w="75"/>
              <w:left w:type="dxa" w:w="100"/>
              <w:bottom w:type="dxa" w:w="75"/>
              <w:right w:type="dxa" w:w="100"/>
            </w:tcMar>
          </w:tcPr>
          <w:p>
            <w:r>
              <w:rPr>
                <w:rFonts w:ascii="Arial" w:cs="Arial" w:eastAsia="Arial" w:hAnsi="Arial"/>
                <w:color w:val="1A1A1A"/>
                <w:sz w:val="20"/>
                <w:szCs w:val="20"/>
              </w:rPr>
              <w:t xml:space="preserve">Tool system + streaming + model router</w:t>
            </w:r>
          </w:p>
        </w:tc>
        <w:tc>
          <w:tcPr>
            <w:tcW w:type="dxa" w:w="1500"/>
            <w:tcBorders>
              <w:top w:val="single" w:color="CCCCCC" w:sz="1"/>
              <w:left w:val="single" w:color="CCCCCC" w:sz="1"/>
              <w:bottom w:val="single" w:color="CCCCCC" w:sz="1"/>
              <w:right w:val="single" w:color="CCCCCC" w:sz="1"/>
            </w:tcBorders>
            <w:shd w:fill="F5F5F5" w:val="clear"/>
            <w:tcMar>
              <w:top w:type="dxa" w:w="75"/>
              <w:left w:type="dxa" w:w="100"/>
              <w:bottom w:type="dxa" w:w="75"/>
              <w:right w:type="dxa" w:w="100"/>
            </w:tcMar>
          </w:tcPr>
          <w:p>
            <w:r>
              <w:rPr>
                <w:rFonts w:ascii="Arial" w:cs="Arial" w:eastAsia="Arial" w:hAnsi="Arial"/>
                <w:color w:val="1A1A1A"/>
                <w:sz w:val="20"/>
                <w:szCs w:val="20"/>
              </w:rPr>
              <w:t xml:space="preserve">T-14 → T-16</w:t>
            </w:r>
          </w:p>
        </w:tc>
        <w:tc>
          <w:tcPr>
            <w:tcW w:type="dxa" w:w="1400"/>
            <w:tcBorders>
              <w:top w:val="single" w:color="CCCCCC" w:sz="1"/>
              <w:left w:val="single" w:color="CCCCCC" w:sz="1"/>
              <w:bottom w:val="single" w:color="CCCCCC" w:sz="1"/>
              <w:right w:val="single" w:color="CCCCCC" w:sz="1"/>
            </w:tcBorders>
            <w:shd w:fill="F5F5F5" w:val="clear"/>
            <w:tcMar>
              <w:top w:type="dxa" w:w="75"/>
              <w:left w:type="dxa" w:w="100"/>
              <w:bottom w:type="dxa" w:w="75"/>
              <w:right w:type="dxa" w:w="100"/>
            </w:tcMar>
          </w:tcPr>
          <w:p>
            <w:r>
              <w:rPr>
                <w:rFonts w:ascii="Arial" w:cs="Arial" w:eastAsia="Arial" w:hAnsi="Arial"/>
                <w:color w:val="1A1A1A"/>
                <w:sz w:val="20"/>
                <w:szCs w:val="20"/>
              </w:rPr>
              <w:t xml:space="preserve">6–7 days</w:t>
            </w:r>
          </w:p>
        </w:tc>
        <w:tc>
          <w:tcPr>
            <w:tcW w:type="dxa" w:w="3960"/>
            <w:tcBorders>
              <w:top w:val="single" w:color="CCCCCC" w:sz="1"/>
              <w:left w:val="single" w:color="CCCCCC" w:sz="1"/>
              <w:bottom w:val="single" w:color="CCCCCC" w:sz="1"/>
              <w:right w:val="single" w:color="CCCCCC" w:sz="1"/>
            </w:tcBorders>
            <w:shd w:fill="F5F5F5" w:val="clear"/>
            <w:tcMar>
              <w:top w:type="dxa" w:w="75"/>
              <w:left w:type="dxa" w:w="100"/>
              <w:bottom w:type="dxa" w:w="75"/>
              <w:right w:type="dxa" w:w="100"/>
            </w:tcMar>
          </w:tcPr>
          <w:p>
            <w:r>
              <w:rPr>
                <w:rFonts w:ascii="Arial" w:cs="Arial" w:eastAsia="Arial" w:hAnsi="Arial"/>
                <w:color w:val="1A1A1A"/>
                <w:sz w:val="20"/>
                <w:szCs w:val="20"/>
              </w:rPr>
              <w:t xml:space="preserve">Complete tool calling across all providers. Unified streaming.</w:t>
            </w:r>
          </w:p>
        </w:tc>
      </w:tr>
      <w:tr>
        <w:tc>
          <w:tcPr>
            <w:tcW w:type="dxa" w:w="7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Phase 5</w:t>
            </w:r>
          </w:p>
        </w:tc>
        <w:tc>
          <w:tcPr>
            <w:tcW w:type="dxa" w:w="28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LLMClient public API + cost/usage logging</w:t>
            </w:r>
          </w:p>
        </w:tc>
        <w:tc>
          <w:tcPr>
            <w:tcW w:type="dxa" w:w="15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T-17 → T-18</w:t>
            </w:r>
          </w:p>
        </w:tc>
        <w:tc>
          <w:tcPr>
            <w:tcW w:type="dxa" w:w="14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3–4 days</w:t>
            </w:r>
          </w:p>
        </w:tc>
        <w:tc>
          <w:tcPr>
            <w:tcW w:type="dxa" w:w="396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Ship-ready public API. Billing-grade cost tracking.</w:t>
            </w:r>
          </w:p>
        </w:tc>
      </w:tr>
      <w:tr>
        <w:tc>
          <w:tcPr>
            <w:tcW w:type="dxa" w:w="700"/>
            <w:tcBorders>
              <w:top w:val="single" w:color="CCCCCC" w:sz="1"/>
              <w:left w:val="single" w:color="CCCCCC" w:sz="1"/>
              <w:bottom w:val="single" w:color="CCCCCC" w:sz="1"/>
              <w:right w:val="single" w:color="CCCCCC" w:sz="1"/>
            </w:tcBorders>
            <w:shd w:fill="F5F5F5" w:val="clear"/>
            <w:tcMar>
              <w:top w:type="dxa" w:w="75"/>
              <w:left w:type="dxa" w:w="100"/>
              <w:bottom w:type="dxa" w:w="75"/>
              <w:right w:type="dxa" w:w="100"/>
            </w:tcMar>
          </w:tcPr>
          <w:p>
            <w:r>
              <w:rPr>
                <w:rFonts w:ascii="Arial" w:cs="Arial" w:eastAsia="Arial" w:hAnsi="Arial"/>
                <w:color w:val="1A1A1A"/>
                <w:sz w:val="20"/>
                <w:szCs w:val="20"/>
              </w:rPr>
              <w:t xml:space="preserve">Phase 6</w:t>
            </w:r>
          </w:p>
        </w:tc>
        <w:tc>
          <w:tcPr>
            <w:tcW w:type="dxa" w:w="2800"/>
            <w:tcBorders>
              <w:top w:val="single" w:color="CCCCCC" w:sz="1"/>
              <w:left w:val="single" w:color="CCCCCC" w:sz="1"/>
              <w:bottom w:val="single" w:color="CCCCCC" w:sz="1"/>
              <w:right w:val="single" w:color="CCCCCC" w:sz="1"/>
            </w:tcBorders>
            <w:shd w:fill="F5F5F5" w:val="clear"/>
            <w:tcMar>
              <w:top w:type="dxa" w:w="75"/>
              <w:left w:type="dxa" w:w="100"/>
              <w:bottom w:type="dxa" w:w="75"/>
              <w:right w:type="dxa" w:w="100"/>
            </w:tcMar>
          </w:tcPr>
          <w:p>
            <w:r>
              <w:rPr>
                <w:rFonts w:ascii="Arial" w:cs="Arial" w:eastAsia="Arial" w:hAnsi="Arial"/>
                <w:color w:val="1A1A1A"/>
                <w:sz w:val="20"/>
                <w:szCs w:val="20"/>
              </w:rPr>
              <w:t xml:space="preserve">Session API (Responses API equivalent)</w:t>
            </w:r>
          </w:p>
        </w:tc>
        <w:tc>
          <w:tcPr>
            <w:tcW w:type="dxa" w:w="1500"/>
            <w:tcBorders>
              <w:top w:val="single" w:color="CCCCCC" w:sz="1"/>
              <w:left w:val="single" w:color="CCCCCC" w:sz="1"/>
              <w:bottom w:val="single" w:color="CCCCCC" w:sz="1"/>
              <w:right w:val="single" w:color="CCCCCC" w:sz="1"/>
            </w:tcBorders>
            <w:shd w:fill="F5F5F5" w:val="clear"/>
            <w:tcMar>
              <w:top w:type="dxa" w:w="75"/>
              <w:left w:type="dxa" w:w="100"/>
              <w:bottom w:type="dxa" w:w="75"/>
              <w:right w:type="dxa" w:w="100"/>
            </w:tcMar>
          </w:tcPr>
          <w:p>
            <w:r>
              <w:rPr>
                <w:rFonts w:ascii="Arial" w:cs="Arial" w:eastAsia="Arial" w:hAnsi="Arial"/>
                <w:color w:val="1A1A1A"/>
                <w:sz w:val="20"/>
                <w:szCs w:val="20"/>
              </w:rPr>
              <w:t xml:space="preserve">T-19 → T-20</w:t>
            </w:r>
          </w:p>
        </w:tc>
        <w:tc>
          <w:tcPr>
            <w:tcW w:type="dxa" w:w="1400"/>
            <w:tcBorders>
              <w:top w:val="single" w:color="CCCCCC" w:sz="1"/>
              <w:left w:val="single" w:color="CCCCCC" w:sz="1"/>
              <w:bottom w:val="single" w:color="CCCCCC" w:sz="1"/>
              <w:right w:val="single" w:color="CCCCCC" w:sz="1"/>
            </w:tcBorders>
            <w:shd w:fill="F5F5F5" w:val="clear"/>
            <w:tcMar>
              <w:top w:type="dxa" w:w="75"/>
              <w:left w:type="dxa" w:w="100"/>
              <w:bottom w:type="dxa" w:w="75"/>
              <w:right w:type="dxa" w:w="100"/>
            </w:tcMar>
          </w:tcPr>
          <w:p>
            <w:r>
              <w:rPr>
                <w:rFonts w:ascii="Arial" w:cs="Arial" w:eastAsia="Arial" w:hAnsi="Arial"/>
                <w:color w:val="1A1A1A"/>
                <w:sz w:val="20"/>
                <w:szCs w:val="20"/>
              </w:rPr>
              <w:t xml:space="preserve">4–5 days</w:t>
            </w:r>
          </w:p>
        </w:tc>
        <w:tc>
          <w:tcPr>
            <w:tcW w:type="dxa" w:w="3960"/>
            <w:tcBorders>
              <w:top w:val="single" w:color="CCCCCC" w:sz="1"/>
              <w:left w:val="single" w:color="CCCCCC" w:sz="1"/>
              <w:bottom w:val="single" w:color="CCCCCC" w:sz="1"/>
              <w:right w:val="single" w:color="CCCCCC" w:sz="1"/>
            </w:tcBorders>
            <w:shd w:fill="F5F5F5" w:val="clear"/>
            <w:tcMar>
              <w:top w:type="dxa" w:w="75"/>
              <w:left w:type="dxa" w:w="100"/>
              <w:bottom w:type="dxa" w:w="75"/>
              <w:right w:type="dxa" w:w="100"/>
            </w:tcMar>
          </w:tcPr>
          <w:p>
            <w:r>
              <w:rPr>
                <w:rFonts w:ascii="Arial" w:cs="Arial" w:eastAsia="Arial" w:hAnsi="Arial"/>
                <w:color w:val="1A1A1A"/>
                <w:sz w:val="20"/>
                <w:szCs w:val="20"/>
              </w:rPr>
              <w:t xml:space="preserve">HTTP endpoints for stateful conversation management</w:t>
            </w:r>
          </w:p>
        </w:tc>
      </w:tr>
      <w:tr>
        <w:tc>
          <w:tcPr>
            <w:tcW w:type="dxa" w:w="7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Phase 7</w:t>
            </w:r>
          </w:p>
        </w:tc>
        <w:tc>
          <w:tcPr>
            <w:tcW w:type="dxa" w:w="28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Testing, docs, perf benchmarks</w:t>
            </w:r>
          </w:p>
        </w:tc>
        <w:tc>
          <w:tcPr>
            <w:tcW w:type="dxa" w:w="15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T-21 → T-23</w:t>
            </w:r>
          </w:p>
        </w:tc>
        <w:tc>
          <w:tcPr>
            <w:tcW w:type="dxa" w:w="14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5–6 days</w:t>
            </w:r>
          </w:p>
        </w:tc>
        <w:tc>
          <w:tcPr>
            <w:tcW w:type="dxa" w:w="396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Full test coverage, docs, &lt; 5ms overhead verified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3160"/>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Priority</w:t>
            </w:r>
          </w:p>
        </w:tc>
        <w:tc>
          <w:tcPr>
            <w:tcW w:type="dxa" w:w="5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Meaning</w:t>
            </w:r>
          </w:p>
        </w:tc>
        <w:tc>
          <w:tcPr>
            <w:tcW w:type="dxa" w:w="31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Count</w:t>
            </w:r>
          </w:p>
        </w:tc>
      </w:tr>
      <w:tr>
        <w:tc>
          <w:tcPr>
            <w:tcW w:type="dxa" w:w="10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P0</w:t>
            </w:r>
          </w:p>
        </w:tc>
        <w:tc>
          <w:tcPr>
            <w:tcW w:type="dxa" w:w="52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Must-have for MVP — do not ship without it</w:t>
            </w:r>
          </w:p>
        </w:tc>
        <w:tc>
          <w:tcPr>
            <w:tcW w:type="dxa" w:w="316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~80% of tasks</w:t>
            </w:r>
          </w:p>
        </w:tc>
      </w:tr>
      <w:tr>
        <w:tc>
          <w:tcPr>
            <w:tcW w:type="dxa" w:w="1000"/>
            <w:tcBorders>
              <w:top w:val="single" w:color="CCCCCC" w:sz="1"/>
              <w:left w:val="single" w:color="CCCCCC" w:sz="1"/>
              <w:bottom w:val="single" w:color="CCCCCC" w:sz="1"/>
              <w:right w:val="single" w:color="CCCCCC" w:sz="1"/>
            </w:tcBorders>
            <w:shd w:fill="F5F5F5" w:val="clear"/>
            <w:tcMar>
              <w:top w:type="dxa" w:w="75"/>
              <w:left w:type="dxa" w:w="100"/>
              <w:bottom w:type="dxa" w:w="75"/>
              <w:right w:type="dxa" w:w="100"/>
            </w:tcMar>
          </w:tcPr>
          <w:p>
            <w:r>
              <w:rPr>
                <w:rFonts w:ascii="Arial" w:cs="Arial" w:eastAsia="Arial" w:hAnsi="Arial"/>
                <w:color w:val="1A1A1A"/>
                <w:sz w:val="20"/>
                <w:szCs w:val="20"/>
              </w:rPr>
              <w:t xml:space="preserve">P1</w:t>
            </w:r>
          </w:p>
        </w:tc>
        <w:tc>
          <w:tcPr>
            <w:tcW w:type="dxa" w:w="5200"/>
            <w:tcBorders>
              <w:top w:val="single" w:color="CCCCCC" w:sz="1"/>
              <w:left w:val="single" w:color="CCCCCC" w:sz="1"/>
              <w:bottom w:val="single" w:color="CCCCCC" w:sz="1"/>
              <w:right w:val="single" w:color="CCCCCC" w:sz="1"/>
            </w:tcBorders>
            <w:shd w:fill="F5F5F5" w:val="clear"/>
            <w:tcMar>
              <w:top w:type="dxa" w:w="75"/>
              <w:left w:type="dxa" w:w="100"/>
              <w:bottom w:type="dxa" w:w="75"/>
              <w:right w:type="dxa" w:w="100"/>
            </w:tcMar>
          </w:tcPr>
          <w:p>
            <w:r>
              <w:rPr>
                <w:rFonts w:ascii="Arial" w:cs="Arial" w:eastAsia="Arial" w:hAnsi="Arial"/>
                <w:color w:val="1A1A1A"/>
                <w:sz w:val="20"/>
                <w:szCs w:val="20"/>
              </w:rPr>
              <w:t xml:space="preserve">Required for Phase 2 (post-MVP launch)</w:t>
            </w:r>
          </w:p>
        </w:tc>
        <w:tc>
          <w:tcPr>
            <w:tcW w:type="dxa" w:w="3160"/>
            <w:tcBorders>
              <w:top w:val="single" w:color="CCCCCC" w:sz="1"/>
              <w:left w:val="single" w:color="CCCCCC" w:sz="1"/>
              <w:bottom w:val="single" w:color="CCCCCC" w:sz="1"/>
              <w:right w:val="single" w:color="CCCCCC" w:sz="1"/>
            </w:tcBorders>
            <w:shd w:fill="F5F5F5" w:val="clear"/>
            <w:tcMar>
              <w:top w:type="dxa" w:w="75"/>
              <w:left w:type="dxa" w:w="100"/>
              <w:bottom w:type="dxa" w:w="75"/>
              <w:right w:type="dxa" w:w="100"/>
            </w:tcMar>
          </w:tcPr>
          <w:p>
            <w:r>
              <w:rPr>
                <w:rFonts w:ascii="Arial" w:cs="Arial" w:eastAsia="Arial" w:hAnsi="Arial"/>
                <w:color w:val="1A1A1A"/>
                <w:sz w:val="20"/>
                <w:szCs w:val="20"/>
              </w:rPr>
              <w:t xml:space="preserve">~15% of tasks</w:t>
            </w:r>
          </w:p>
        </w:tc>
      </w:tr>
      <w:tr>
        <w:tc>
          <w:tcPr>
            <w:tcW w:type="dxa" w:w="10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P2</w:t>
            </w:r>
          </w:p>
        </w:tc>
        <w:tc>
          <w:tcPr>
            <w:tcW w:type="dxa" w:w="52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Nice-to-have / future iteration</w:t>
            </w:r>
          </w:p>
        </w:tc>
        <w:tc>
          <w:tcPr>
            <w:tcW w:type="dxa" w:w="316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~5% of tasks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r>
              <w:rPr>
                <w:rFonts w:ascii="Arial" w:cs="Arial" w:eastAsia="Arial" w:hAnsi="Arial"/>
                <w:b/>
                <w:bCs/>
                <w:color w:val="FFFFFF"/>
                <w:sz w:val="30"/>
                <w:szCs w:val="30"/>
              </w:rPr>
              <w:t xml:space="preserve">OpenAI Responses API — Key Learnings</w:t>
            </w:r>
          </w:p>
        </w:tc>
      </w:tr>
    </w:tbl>
    <w:p>
      <w:pPr>
        <w:spacing w:after="0" w:before="60"/>
      </w:pPr>
      <w:r>
        <w:t xml:space="preserve"/>
      </w:r>
    </w:p>
    <w:p>
      <w:pPr>
        <w:pStyle w:val="Heading1"/>
        <w:pBdr>
          <w:bottom w:val="single" w:color="2E75B6" w:sz="8" w:space="4"/>
        </w:pBdr>
        <w:spacing w:after="120" w:before="360"/>
      </w:pPr>
      <w:r>
        <w:rPr>
          <w:rFonts w:ascii="Arial" w:cs="Arial" w:eastAsia="Arial" w:hAnsi="Arial"/>
          <w:b/>
          <w:bCs/>
          <w:color w:val="1F4E79"/>
          <w:sz w:val="36"/>
          <w:szCs w:val="36"/>
        </w:rPr>
        <w:t xml:space="preserve">OpenAI Responses API — What We Learned &amp; How We Adapt It</w:t>
      </w:r>
    </w:p>
    <w:p>
      <w:pPr>
        <w:spacing w:after="70" w:before="70"/>
      </w:pPr>
      <w:r>
        <w:rPr>
          <w:rFonts w:ascii="Arial" w:cs="Arial" w:eastAsia="Arial" w:hAnsi="Arial"/>
          <w:color w:val="1A1A1A"/>
          <w:sz w:val="22"/>
          <w:szCs w:val="22"/>
        </w:rPr>
        <w:t xml:space="preserve">Fetched live from developers.openai.com/api/reference/resources/responses. The Responses API is OpenAI's replacement for the Assistants API — it manages conversation state server-side. Here is what it does and how we design our equivalent.</w:t>
      </w:r>
    </w:p>
    <w:p>
      <w:pPr>
        <w:spacing w:after="0" w:before="50"/>
      </w:pPr>
      <w:r>
        <w:t xml:space="preserve"/>
      </w:r>
    </w:p>
    <w:p>
      <w:pPr>
        <w:pStyle w:val="Heading2"/>
        <w:spacing w:after="80" w:before="280"/>
      </w:pPr>
      <w:r>
        <w:rPr>
          <w:rFonts w:ascii="Arial" w:cs="Arial" w:eastAsia="Arial" w:hAnsi="Arial"/>
          <w:b/>
          <w:bCs/>
          <w:color w:val="2E75B6"/>
          <w:sz w:val="28"/>
          <w:szCs w:val="28"/>
        </w:rPr>
        <w:t xml:space="preserve">1. Endpoints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610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Endpoint</w:t>
            </w:r>
          </w:p>
        </w:tc>
        <w:tc>
          <w:tcPr>
            <w:tcW w:type="dxa" w:w="9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Method</w:t>
            </w:r>
          </w:p>
        </w:tc>
        <w:tc>
          <w:tcPr>
            <w:tcW w:type="dxa" w:w="61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POST /responses</w:t>
            </w:r>
          </w:p>
        </w:tc>
        <w:tc>
          <w:tcPr>
            <w:tcW w:type="dxa" w:w="9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Create</w:t>
            </w:r>
          </w:p>
        </w:tc>
        <w:tc>
          <w:tcPr>
            <w:tcW w:type="dxa" w:w="61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Create a response. Optionally chain to previous via previous_response_id.</w:t>
            </w:r>
          </w:p>
        </w:tc>
      </w:tr>
      <w:tr>
        <w:tc>
          <w:tcPr>
            <w:tcW w:type="dxa" w:w="2600"/>
            <w:tcBorders>
              <w:top w:val="single" w:color="CCCCCC" w:sz="1"/>
              <w:left w:val="single" w:color="CCCCCC" w:sz="1"/>
              <w:bottom w:val="single" w:color="CCCCCC" w:sz="1"/>
              <w:right w:val="single" w:color="CCCCCC" w:sz="1"/>
            </w:tcBorders>
            <w:shd w:fill="F5F5F5" w:val="clear"/>
            <w:tcMar>
              <w:top w:type="dxa" w:w="75"/>
              <w:left w:type="dxa" w:w="100"/>
              <w:bottom w:type="dxa" w:w="75"/>
              <w:right w:type="dxa" w:w="100"/>
            </w:tcMar>
          </w:tcPr>
          <w:p>
            <w:r>
              <w:rPr>
                <w:rFonts w:ascii="Arial" w:cs="Arial" w:eastAsia="Arial" w:hAnsi="Arial"/>
                <w:color w:val="1A1A1A"/>
                <w:sz w:val="20"/>
                <w:szCs w:val="20"/>
              </w:rPr>
              <w:t xml:space="preserve">GET /responses/{id}</w:t>
            </w:r>
          </w:p>
        </w:tc>
        <w:tc>
          <w:tcPr>
            <w:tcW w:type="dxa" w:w="900"/>
            <w:tcBorders>
              <w:top w:val="single" w:color="CCCCCC" w:sz="1"/>
              <w:left w:val="single" w:color="CCCCCC" w:sz="1"/>
              <w:bottom w:val="single" w:color="CCCCCC" w:sz="1"/>
              <w:right w:val="single" w:color="CCCCCC" w:sz="1"/>
            </w:tcBorders>
            <w:shd w:fill="F5F5F5" w:val="clear"/>
            <w:tcMar>
              <w:top w:type="dxa" w:w="75"/>
              <w:left w:type="dxa" w:w="100"/>
              <w:bottom w:type="dxa" w:w="75"/>
              <w:right w:type="dxa" w:w="100"/>
            </w:tcMar>
          </w:tcPr>
          <w:p>
            <w:r>
              <w:rPr>
                <w:rFonts w:ascii="Arial" w:cs="Arial" w:eastAsia="Arial" w:hAnsi="Arial"/>
                <w:color w:val="1A1A1A"/>
                <w:sz w:val="20"/>
                <w:szCs w:val="20"/>
              </w:rPr>
              <w:t xml:space="preserve">Read</w:t>
            </w:r>
          </w:p>
        </w:tc>
        <w:tc>
          <w:tcPr>
            <w:tcW w:type="dxa" w:w="6100"/>
            <w:tcBorders>
              <w:top w:val="single" w:color="CCCCCC" w:sz="1"/>
              <w:left w:val="single" w:color="CCCCCC" w:sz="1"/>
              <w:bottom w:val="single" w:color="CCCCCC" w:sz="1"/>
              <w:right w:val="single" w:color="CCCCCC" w:sz="1"/>
            </w:tcBorders>
            <w:shd w:fill="F5F5F5" w:val="clear"/>
            <w:tcMar>
              <w:top w:type="dxa" w:w="75"/>
              <w:left w:type="dxa" w:w="100"/>
              <w:bottom w:type="dxa" w:w="75"/>
              <w:right w:type="dxa" w:w="100"/>
            </w:tcMar>
          </w:tcPr>
          <w:p>
            <w:r>
              <w:rPr>
                <w:rFonts w:ascii="Arial" w:cs="Arial" w:eastAsia="Arial" w:hAnsi="Arial"/>
                <w:color w:val="1A1A1A"/>
                <w:sz w:val="20"/>
                <w:szCs w:val="20"/>
              </w:rPr>
              <w:t xml:space="preserve">Retrieve a stored response by ID.</w:t>
            </w:r>
          </w:p>
        </w:tc>
      </w:tr>
      <w:tr>
        <w:tc>
          <w:tcPr>
            <w:tcW w:type="dxa" w:w="26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DELETE /responses/{id}</w:t>
            </w:r>
          </w:p>
        </w:tc>
        <w:tc>
          <w:tcPr>
            <w:tcW w:type="dxa" w:w="9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Delete</w:t>
            </w:r>
          </w:p>
        </w:tc>
        <w:tc>
          <w:tcPr>
            <w:tcW w:type="dxa" w:w="61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Delete a stored response.</w:t>
            </w:r>
          </w:p>
        </w:tc>
      </w:tr>
      <w:tr>
        <w:tc>
          <w:tcPr>
            <w:tcW w:type="dxa" w:w="2600"/>
            <w:tcBorders>
              <w:top w:val="single" w:color="CCCCCC" w:sz="1"/>
              <w:left w:val="single" w:color="CCCCCC" w:sz="1"/>
              <w:bottom w:val="single" w:color="CCCCCC" w:sz="1"/>
              <w:right w:val="single" w:color="CCCCCC" w:sz="1"/>
            </w:tcBorders>
            <w:shd w:fill="F5F5F5" w:val="clear"/>
            <w:tcMar>
              <w:top w:type="dxa" w:w="75"/>
              <w:left w:type="dxa" w:w="100"/>
              <w:bottom w:type="dxa" w:w="75"/>
              <w:right w:type="dxa" w:w="100"/>
            </w:tcMar>
          </w:tcPr>
          <w:p>
            <w:r>
              <w:rPr>
                <w:rFonts w:ascii="Arial" w:cs="Arial" w:eastAsia="Arial" w:hAnsi="Arial"/>
                <w:color w:val="1A1A1A"/>
                <w:sz w:val="20"/>
                <w:szCs w:val="20"/>
              </w:rPr>
              <w:t xml:space="preserve">POST /responses/{id}/cancel</w:t>
            </w:r>
          </w:p>
        </w:tc>
        <w:tc>
          <w:tcPr>
            <w:tcW w:type="dxa" w:w="900"/>
            <w:tcBorders>
              <w:top w:val="single" w:color="CCCCCC" w:sz="1"/>
              <w:left w:val="single" w:color="CCCCCC" w:sz="1"/>
              <w:bottom w:val="single" w:color="CCCCCC" w:sz="1"/>
              <w:right w:val="single" w:color="CCCCCC" w:sz="1"/>
            </w:tcBorders>
            <w:shd w:fill="F5F5F5" w:val="clear"/>
            <w:tcMar>
              <w:top w:type="dxa" w:w="75"/>
              <w:left w:type="dxa" w:w="100"/>
              <w:bottom w:type="dxa" w:w="75"/>
              <w:right w:type="dxa" w:w="100"/>
            </w:tcMar>
          </w:tcPr>
          <w:p>
            <w:r>
              <w:rPr>
                <w:rFonts w:ascii="Arial" w:cs="Arial" w:eastAsia="Arial" w:hAnsi="Arial"/>
                <w:color w:val="1A1A1A"/>
                <w:sz w:val="20"/>
                <w:szCs w:val="20"/>
              </w:rPr>
              <w:t xml:space="preserve">Cancel</w:t>
            </w:r>
          </w:p>
        </w:tc>
        <w:tc>
          <w:tcPr>
            <w:tcW w:type="dxa" w:w="6100"/>
            <w:tcBorders>
              <w:top w:val="single" w:color="CCCCCC" w:sz="1"/>
              <w:left w:val="single" w:color="CCCCCC" w:sz="1"/>
              <w:bottom w:val="single" w:color="CCCCCC" w:sz="1"/>
              <w:right w:val="single" w:color="CCCCCC" w:sz="1"/>
            </w:tcBorders>
            <w:shd w:fill="F5F5F5" w:val="clear"/>
            <w:tcMar>
              <w:top w:type="dxa" w:w="75"/>
              <w:left w:type="dxa" w:w="100"/>
              <w:bottom w:type="dxa" w:w="75"/>
              <w:right w:type="dxa" w:w="100"/>
            </w:tcMar>
          </w:tcPr>
          <w:p>
            <w:r>
              <w:rPr>
                <w:rFonts w:ascii="Arial" w:cs="Arial" w:eastAsia="Arial" w:hAnsi="Arial"/>
                <w:color w:val="1A1A1A"/>
                <w:sz w:val="20"/>
                <w:szCs w:val="20"/>
              </w:rPr>
              <w:t xml:space="preserve">Cancel an in-progress background response.</w:t>
            </w:r>
          </w:p>
        </w:tc>
      </w:tr>
      <w:tr>
        <w:tc>
          <w:tcPr>
            <w:tcW w:type="dxa" w:w="26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POST /responses/compact</w:t>
            </w:r>
          </w:p>
        </w:tc>
        <w:tc>
          <w:tcPr>
            <w:tcW w:type="dxa" w:w="9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Compact</w:t>
            </w:r>
          </w:p>
        </w:tc>
        <w:tc>
          <w:tcPr>
            <w:tcW w:type="dxa" w:w="61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Manually trigger context compaction on a response chain.</w:t>
            </w:r>
          </w:p>
        </w:tc>
      </w:tr>
    </w:tbl>
    <w:p>
      <w:pPr>
        <w:spacing w:after="0" w:before="60"/>
      </w:pPr>
      <w:r>
        <w:t xml:space="preserve"/>
      </w:r>
    </w:p>
    <w:p>
      <w:pPr>
        <w:pStyle w:val="Heading2"/>
        <w:spacing w:after="80" w:before="280"/>
      </w:pPr>
      <w:r>
        <w:rPr>
          <w:rFonts w:ascii="Arial" w:cs="Arial" w:eastAsia="Arial" w:hAnsi="Arial"/>
          <w:b/>
          <w:bCs/>
          <w:color w:val="2E75B6"/>
          <w:sz w:val="28"/>
          <w:szCs w:val="28"/>
        </w:rPr>
        <w:t xml:space="preserve">2. The Key Mechanism: previous_response_id</w:t>
      </w:r>
    </w:p>
    <w:p>
      <w:pPr>
        <w:spacing w:after="70" w:before="70"/>
      </w:pPr>
      <w:r>
        <w:rPr>
          <w:rFonts w:ascii="Arial" w:cs="Arial" w:eastAsia="Arial" w:hAnsi="Arial"/>
          <w:color w:val="1A1A1A"/>
          <w:sz w:val="22"/>
          <w:szCs w:val="22"/>
        </w:rPr>
        <w:t xml:space="preserve">Instead of passing the full conversation history on every call, you pass the ID of the previous response. OpenAI loads the conversation state from their servers. This means:</w:t>
      </w:r>
    </w:p>
    <w:p>
      <w:pPr>
        <w:spacing w:after="0" w:before="30"/>
      </w:pPr>
      <w:r>
        <w:t xml:space="preserve"/>
      </w:r>
    </w:p>
    <w:p>
      <w:pPr>
        <w:pStyle w:val="ListParagraph"/>
        <w:numPr>
          <w:ilvl w:val="0"/>
          <w:numId w:val="2"/>
        </w:numPr>
        <w:spacing w:after="30" w:before="30"/>
      </w:pPr>
      <w:r>
        <w:rPr>
          <w:rFonts w:ascii="Arial" w:cs="Arial" w:eastAsia="Arial" w:hAnsi="Arial"/>
          <w:color w:val="1A1A1A"/>
          <w:sz w:val="22"/>
          <w:szCs w:val="22"/>
        </w:rPr>
        <w:t xml:space="preserve">Zero conversation history management in client code — just track one ID</w:t>
      </w:r>
    </w:p>
    <w:p>
      <w:pPr>
        <w:pStyle w:val="ListParagraph"/>
        <w:numPr>
          <w:ilvl w:val="0"/>
          <w:numId w:val="2"/>
        </w:numPr>
        <w:spacing w:after="30" w:before="30"/>
      </w:pPr>
      <w:r>
        <w:rPr>
          <w:rFonts w:ascii="Arial" w:cs="Arial" w:eastAsia="Arial" w:hAnsi="Arial"/>
          <w:color w:val="1A1A1A"/>
          <w:sz w:val="22"/>
          <w:szCs w:val="22"/>
        </w:rPr>
        <w:t xml:space="preserve">Context compaction is automatic: OpenAI manages token limits server-side</w:t>
      </w:r>
    </w:p>
    <w:p>
      <w:pPr>
        <w:pStyle w:val="ListParagraph"/>
        <w:numPr>
          <w:ilvl w:val="0"/>
          <w:numId w:val="2"/>
        </w:numPr>
        <w:spacing w:after="30" w:before="30"/>
      </w:pPr>
      <w:r>
        <w:rPr>
          <w:rFonts w:ascii="Arial" w:cs="Arial" w:eastAsia="Arial" w:hAnsi="Arial"/>
          <w:color w:val="1A1A1A"/>
          <w:sz w:val="22"/>
          <w:szCs w:val="22"/>
        </w:rPr>
        <w:t xml:space="preserve">Built-in conversation continuity without serialising/deserialising message arrays</w:t>
      </w:r>
    </w:p>
    <w:p>
      <w:pPr>
        <w:pStyle w:val="ListParagraph"/>
        <w:numPr>
          <w:ilvl w:val="0"/>
          <w:numId w:val="2"/>
        </w:numPr>
        <w:spacing w:after="30" w:before="30"/>
      </w:pPr>
      <w:r>
        <w:rPr>
          <w:rFonts w:ascii="Arial" w:cs="Arial" w:eastAsia="Arial" w:hAnsi="Arial"/>
          <w:color w:val="1A1A1A"/>
          <w:sz w:val="22"/>
          <w:szCs w:val="22"/>
        </w:rPr>
        <w:t xml:space="preserve">New system instructions can replace old ones without history carrying over</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10"/>
              <w:left w:type="dxa" w:w="180"/>
              <w:bottom w:type="dxa" w:w="110"/>
              <w:right w:type="dxa" w:w="180"/>
            </w:tcMar>
          </w:tcPr>
          <w:p>
            <w:pPr>
              <w:spacing w:after="40" w:before="0"/>
            </w:pPr>
            <w:r>
              <w:rPr>
                <w:rFonts w:ascii="Arial" w:cs="Arial" w:eastAsia="Arial" w:hAnsi="Arial"/>
                <w:b/>
                <w:bCs/>
                <w:color w:val="1B5E20"/>
                <w:sz w:val="22"/>
                <w:szCs w:val="22"/>
              </w:rPr>
              <w:t xml:space="preserve">Our Equivalent</w:t>
            </w:r>
          </w:p>
          <w:p>
            <w:pPr>
              <w:spacing w:after="0" w:before="0"/>
            </w:pPr>
            <w:r>
              <w:rPr>
                <w:rFonts w:ascii="Arial" w:cs="Arial" w:eastAsia="Arial" w:hAnsi="Arial"/>
                <w:color w:val="1A1A1A"/>
                <w:sz w:val="22"/>
                <w:szCs w:val="22"/>
              </w:rPr>
              <w:t xml:space="preserve">Our POST /sessions/{id}/message serves the same purpose. You pass a sessionId instead of rebuilding message history. We load conversation state from our Postgres/Redis session store. The sessionId is our previous_response_id.</w:t>
            </w:r>
          </w:p>
        </w:tc>
      </w:tr>
    </w:tbl>
    <w:p>
      <w:pPr>
        <w:spacing w:after="0" w:before="60"/>
      </w:pPr>
      <w:r>
        <w:t xml:space="preserve"/>
      </w:r>
    </w:p>
    <w:p>
      <w:pPr>
        <w:pStyle w:val="Heading2"/>
        <w:spacing w:after="80" w:before="280"/>
      </w:pPr>
      <w:r>
        <w:rPr>
          <w:rFonts w:ascii="Arial" w:cs="Arial" w:eastAsia="Arial" w:hAnsi="Arial"/>
          <w:b/>
          <w:bCs/>
          <w:color w:val="2E75B6"/>
          <w:sz w:val="28"/>
          <w:szCs w:val="28"/>
        </w:rPr>
        <w:t xml:space="preserve">3. Context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OpenAI Responses API</w:t>
            </w:r>
          </w:p>
        </w:tc>
        <w:tc>
          <w:tcPr>
            <w:tcW w:type="dxa" w:w="53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Our Library Equivalent</w:t>
            </w:r>
          </w:p>
        </w:tc>
      </w:tr>
      <w:tr>
        <w:tc>
          <w:tcPr>
            <w:tcW w:type="dxa" w:w="40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context_management parameter</w:t>
            </w:r>
          </w:p>
        </w:tc>
        <w:tc>
          <w:tcPr>
            <w:tcW w:type="dxa" w:w="536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Conversation contextStrategy option (sliding-window | summarise)</w:t>
            </w:r>
          </w:p>
        </w:tc>
      </w:tr>
      <w:tr>
        <w:tc>
          <w:tcPr>
            <w:tcW w:type="dxa" w:w="4000"/>
            <w:tcBorders>
              <w:top w:val="single" w:color="CCCCCC" w:sz="1"/>
              <w:left w:val="single" w:color="CCCCCC" w:sz="1"/>
              <w:bottom w:val="single" w:color="CCCCCC" w:sz="1"/>
              <w:right w:val="single" w:color="CCCCCC" w:sz="1"/>
            </w:tcBorders>
            <w:shd w:fill="F5F5F5" w:val="clear"/>
            <w:tcMar>
              <w:top w:type="dxa" w:w="75"/>
              <w:left w:type="dxa" w:w="100"/>
              <w:bottom w:type="dxa" w:w="75"/>
              <w:right w:type="dxa" w:w="100"/>
            </w:tcMar>
          </w:tcPr>
          <w:p>
            <w:r>
              <w:rPr>
                <w:rFonts w:ascii="Arial" w:cs="Arial" w:eastAsia="Arial" w:hAnsi="Arial"/>
                <w:color w:val="1A1A1A"/>
                <w:sz w:val="20"/>
                <w:szCs w:val="20"/>
              </w:rPr>
              <w:t xml:space="preserve">compact_threshold: 1000 tokens</w:t>
            </w:r>
          </w:p>
        </w:tc>
        <w:tc>
          <w:tcPr>
            <w:tcW w:type="dxa" w:w="5360"/>
            <w:tcBorders>
              <w:top w:val="single" w:color="CCCCCC" w:sz="1"/>
              <w:left w:val="single" w:color="CCCCCC" w:sz="1"/>
              <w:bottom w:val="single" w:color="CCCCCC" w:sz="1"/>
              <w:right w:val="single" w:color="CCCCCC" w:sz="1"/>
            </w:tcBorders>
            <w:shd w:fill="F5F5F5" w:val="clear"/>
            <w:tcMar>
              <w:top w:type="dxa" w:w="75"/>
              <w:left w:type="dxa" w:w="100"/>
              <w:bottom w:type="dxa" w:w="75"/>
              <w:right w:type="dxa" w:w="100"/>
            </w:tcMar>
          </w:tcPr>
          <w:p>
            <w:r>
              <w:rPr>
                <w:rFonts w:ascii="Arial" w:cs="Arial" w:eastAsia="Arial" w:hAnsi="Arial"/>
                <w:color w:val="1A1A1A"/>
                <w:sz w:val="20"/>
                <w:szCs w:val="20"/>
              </w:rPr>
              <w:t xml:space="preserve">maxContextTokens threshold (90% of model limit by default)</w:t>
            </w:r>
          </w:p>
        </w:tc>
      </w:tr>
      <w:tr>
        <w:tc>
          <w:tcPr>
            <w:tcW w:type="dxa" w:w="40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POST /responses/compact endpoint</w:t>
            </w:r>
          </w:p>
        </w:tc>
        <w:tc>
          <w:tcPr>
            <w:tcW w:type="dxa" w:w="536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POST /sessions/{id}/compact — manual compaction trigger</w:t>
            </w:r>
          </w:p>
        </w:tc>
      </w:tr>
      <w:tr>
        <w:tc>
          <w:tcPr>
            <w:tcW w:type="dxa" w:w="4000"/>
            <w:tcBorders>
              <w:top w:val="single" w:color="CCCCCC" w:sz="1"/>
              <w:left w:val="single" w:color="CCCCCC" w:sz="1"/>
              <w:bottom w:val="single" w:color="CCCCCC" w:sz="1"/>
              <w:right w:val="single" w:color="CCCCCC" w:sz="1"/>
            </w:tcBorders>
            <w:shd w:fill="F5F5F5" w:val="clear"/>
            <w:tcMar>
              <w:top w:type="dxa" w:w="75"/>
              <w:left w:type="dxa" w:w="100"/>
              <w:bottom w:type="dxa" w:w="75"/>
              <w:right w:type="dxa" w:w="100"/>
            </w:tcMar>
          </w:tcPr>
          <w:p>
            <w:r>
              <w:rPr>
                <w:rFonts w:ascii="Arial" w:cs="Arial" w:eastAsia="Arial" w:hAnsi="Arial"/>
                <w:color w:val="1A1A1A"/>
                <w:sz w:val="20"/>
                <w:szCs w:val="20"/>
              </w:rPr>
              <w:t xml:space="preserve">Auto-compaction in-stream</w:t>
            </w:r>
          </w:p>
        </w:tc>
        <w:tc>
          <w:tcPr>
            <w:tcW w:type="dxa" w:w="5360"/>
            <w:tcBorders>
              <w:top w:val="single" w:color="CCCCCC" w:sz="1"/>
              <w:left w:val="single" w:color="CCCCCC" w:sz="1"/>
              <w:bottom w:val="single" w:color="CCCCCC" w:sz="1"/>
              <w:right w:val="single" w:color="CCCCCC" w:sz="1"/>
            </w:tcBorders>
            <w:shd w:fill="F5F5F5" w:val="clear"/>
            <w:tcMar>
              <w:top w:type="dxa" w:w="75"/>
              <w:left w:type="dxa" w:w="100"/>
              <w:bottom w:type="dxa" w:w="75"/>
              <w:right w:type="dxa" w:w="100"/>
            </w:tcMar>
          </w:tcPr>
          <w:p>
            <w:r>
              <w:rPr>
                <w:rFonts w:ascii="Arial" w:cs="Arial" w:eastAsia="Arial" w:hAnsi="Arial"/>
                <w:color w:val="1A1A1A"/>
                <w:sz w:val="20"/>
                <w:szCs w:val="20"/>
              </w:rPr>
              <w:t xml:space="preserve">Auto-trimming runs before every API call when threshold exceeded</w:t>
            </w:r>
          </w:p>
        </w:tc>
      </w:tr>
      <w:tr>
        <w:tc>
          <w:tcPr>
            <w:tcW w:type="dxa" w:w="40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CompactedResponse object</w:t>
            </w:r>
          </w:p>
        </w:tc>
        <w:tc>
          <w:tcPr>
            <w:tcW w:type="dxa" w:w="536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Our SummarisedConversation snapshot with summary message</w:t>
            </w:r>
          </w:p>
        </w:tc>
      </w:tr>
    </w:tbl>
    <w:p>
      <w:pPr>
        <w:spacing w:after="0" w:before="60"/>
      </w:pPr>
      <w:r>
        <w:t xml:space="preserve"/>
      </w:r>
    </w:p>
    <w:p>
      <w:pPr>
        <w:pStyle w:val="Heading2"/>
        <w:spacing w:after="80" w:before="280"/>
      </w:pPr>
      <w:r>
        <w:rPr>
          <w:rFonts w:ascii="Arial" w:cs="Arial" w:eastAsia="Arial" w:hAnsi="Arial"/>
          <w:b/>
          <w:bCs/>
          <w:color w:val="2E75B6"/>
          <w:sz w:val="28"/>
          <w:szCs w:val="28"/>
        </w:rPr>
        <w:t xml:space="preserve">4. Streaming Events</w:t>
      </w:r>
    </w:p>
    <w:p>
      <w:pPr>
        <w:spacing w:after="70" w:before="70"/>
      </w:pPr>
      <w:r>
        <w:rPr>
          <w:rFonts w:ascii="Arial" w:cs="Arial" w:eastAsia="Arial" w:hAnsi="Arial"/>
          <w:color w:val="1A1A1A"/>
          <w:sz w:val="22"/>
          <w:szCs w:val="22"/>
        </w:rPr>
        <w:t xml:space="preserve">OpenAI Responses API uses named SSE events unlike Chat Completions which uses unnamed data: chunks. Our canonical StreamChunk types are inspired by this cleaner naming: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500"/>
        <w:gridCol w:w="610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OpenAI Event</w:t>
            </w:r>
          </w:p>
        </w:tc>
        <w:tc>
          <w:tcPr>
            <w:tcW w:type="dxa" w:w="61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Our Canonical StreamChunk type</w:t>
            </w:r>
          </w:p>
        </w:tc>
      </w:tr>
      <w:tr>
        <w:tc>
          <w:tcPr>
            <w:tcW w:type="dxa" w:w="35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response.created</w:t>
            </w:r>
          </w:p>
        </w:tc>
        <w:tc>
          <w:tcPr>
            <w:tcW w:type="dxa" w:w="61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session.created (Session API only)</w:t>
            </w:r>
          </w:p>
        </w:tc>
      </w:tr>
      <w:tr>
        <w:tc>
          <w:tcPr>
            <w:tcW w:type="dxa" w:w="3500"/>
            <w:tcBorders>
              <w:top w:val="single" w:color="CCCCCC" w:sz="1"/>
              <w:left w:val="single" w:color="CCCCCC" w:sz="1"/>
              <w:bottom w:val="single" w:color="CCCCCC" w:sz="1"/>
              <w:right w:val="single" w:color="CCCCCC" w:sz="1"/>
            </w:tcBorders>
            <w:shd w:fill="F5F5F5" w:val="clear"/>
            <w:tcMar>
              <w:top w:type="dxa" w:w="75"/>
              <w:left w:type="dxa" w:w="100"/>
              <w:bottom w:type="dxa" w:w="75"/>
              <w:right w:type="dxa" w:w="100"/>
            </w:tcMar>
          </w:tcPr>
          <w:p>
            <w:r>
              <w:rPr>
                <w:rFonts w:ascii="Arial" w:cs="Arial" w:eastAsia="Arial" w:hAnsi="Arial"/>
                <w:color w:val="1A1A1A"/>
                <w:sz w:val="20"/>
                <w:szCs w:val="20"/>
              </w:rPr>
              <w:t xml:space="preserve">response.output_item.added</w:t>
            </w:r>
          </w:p>
        </w:tc>
        <w:tc>
          <w:tcPr>
            <w:tcW w:type="dxa" w:w="6100"/>
            <w:tcBorders>
              <w:top w:val="single" w:color="CCCCCC" w:sz="1"/>
              <w:left w:val="single" w:color="CCCCCC" w:sz="1"/>
              <w:bottom w:val="single" w:color="CCCCCC" w:sz="1"/>
              <w:right w:val="single" w:color="CCCCCC" w:sz="1"/>
            </w:tcBorders>
            <w:shd w:fill="F5F5F5" w:val="clear"/>
            <w:tcMar>
              <w:top w:type="dxa" w:w="75"/>
              <w:left w:type="dxa" w:w="100"/>
              <w:bottom w:type="dxa" w:w="75"/>
              <w:right w:type="dxa" w:w="100"/>
            </w:tcMar>
          </w:tcPr>
          <w:p>
            <w:r>
              <w:rPr>
                <w:rFonts w:ascii="Arial" w:cs="Arial" w:eastAsia="Arial" w:hAnsi="Arial"/>
                <w:color w:val="1A1A1A"/>
                <w:sz w:val="20"/>
                <w:szCs w:val="20"/>
              </w:rPr>
              <w:t xml:space="preserve">— (internal, not exposed)</w:t>
            </w:r>
          </w:p>
        </w:tc>
      </w:tr>
      <w:tr>
        <w:tc>
          <w:tcPr>
            <w:tcW w:type="dxa" w:w="35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response.output_text.delta</w:t>
            </w:r>
          </w:p>
        </w:tc>
        <w:tc>
          <w:tcPr>
            <w:tcW w:type="dxa" w:w="61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text-delta { delta: string }</w:t>
            </w:r>
          </w:p>
        </w:tc>
      </w:tr>
      <w:tr>
        <w:tc>
          <w:tcPr>
            <w:tcW w:type="dxa" w:w="3500"/>
            <w:tcBorders>
              <w:top w:val="single" w:color="CCCCCC" w:sz="1"/>
              <w:left w:val="single" w:color="CCCCCC" w:sz="1"/>
              <w:bottom w:val="single" w:color="CCCCCC" w:sz="1"/>
              <w:right w:val="single" w:color="CCCCCC" w:sz="1"/>
            </w:tcBorders>
            <w:shd w:fill="F5F5F5" w:val="clear"/>
            <w:tcMar>
              <w:top w:type="dxa" w:w="75"/>
              <w:left w:type="dxa" w:w="100"/>
              <w:bottom w:type="dxa" w:w="75"/>
              <w:right w:type="dxa" w:w="100"/>
            </w:tcMar>
          </w:tcPr>
          <w:p>
            <w:r>
              <w:rPr>
                <w:rFonts w:ascii="Arial" w:cs="Arial" w:eastAsia="Arial" w:hAnsi="Arial"/>
                <w:color w:val="1A1A1A"/>
                <w:sz w:val="20"/>
                <w:szCs w:val="20"/>
              </w:rPr>
              <w:t xml:space="preserve">response.output_text.done</w:t>
            </w:r>
          </w:p>
        </w:tc>
        <w:tc>
          <w:tcPr>
            <w:tcW w:type="dxa" w:w="6100"/>
            <w:tcBorders>
              <w:top w:val="single" w:color="CCCCCC" w:sz="1"/>
              <w:left w:val="single" w:color="CCCCCC" w:sz="1"/>
              <w:bottom w:val="single" w:color="CCCCCC" w:sz="1"/>
              <w:right w:val="single" w:color="CCCCCC" w:sz="1"/>
            </w:tcBorders>
            <w:shd w:fill="F5F5F5" w:val="clear"/>
            <w:tcMar>
              <w:top w:type="dxa" w:w="75"/>
              <w:left w:type="dxa" w:w="100"/>
              <w:bottom w:type="dxa" w:w="75"/>
              <w:right w:type="dxa" w:w="100"/>
            </w:tcMar>
          </w:tcPr>
          <w:p>
            <w:r>
              <w:rPr>
                <w:rFonts w:ascii="Arial" w:cs="Arial" w:eastAsia="Arial" w:hAnsi="Arial"/>
                <w:color w:val="1A1A1A"/>
                <w:sz w:val="20"/>
                <w:szCs w:val="20"/>
              </w:rPr>
              <w:t xml:space="preserve">— (inferred from done chunk)</w:t>
            </w:r>
          </w:p>
        </w:tc>
      </w:tr>
      <w:tr>
        <w:tc>
          <w:tcPr>
            <w:tcW w:type="dxa" w:w="35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response.completed</w:t>
            </w:r>
          </w:p>
        </w:tc>
        <w:tc>
          <w:tcPr>
            <w:tcW w:type="dxa" w:w="61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done { usage, finishReason }</w:t>
            </w:r>
          </w:p>
        </w:tc>
      </w:tr>
      <w:tr>
        <w:tc>
          <w:tcPr>
            <w:tcW w:type="dxa" w:w="3500"/>
            <w:tcBorders>
              <w:top w:val="single" w:color="CCCCCC" w:sz="1"/>
              <w:left w:val="single" w:color="CCCCCC" w:sz="1"/>
              <w:bottom w:val="single" w:color="CCCCCC" w:sz="1"/>
              <w:right w:val="single" w:color="CCCCCC" w:sz="1"/>
            </w:tcBorders>
            <w:shd w:fill="F5F5F5" w:val="clear"/>
            <w:tcMar>
              <w:top w:type="dxa" w:w="75"/>
              <w:left w:type="dxa" w:w="100"/>
              <w:bottom w:type="dxa" w:w="75"/>
              <w:right w:type="dxa" w:w="100"/>
            </w:tcMar>
          </w:tcPr>
          <w:p>
            <w:r>
              <w:rPr>
                <w:rFonts w:ascii="Arial" w:cs="Arial" w:eastAsia="Arial" w:hAnsi="Arial"/>
                <w:color w:val="1A1A1A"/>
                <w:sz w:val="20"/>
                <w:szCs w:val="20"/>
              </w:rPr>
              <w:t xml:space="preserve">response.failed</w:t>
            </w:r>
          </w:p>
        </w:tc>
        <w:tc>
          <w:tcPr>
            <w:tcW w:type="dxa" w:w="6100"/>
            <w:tcBorders>
              <w:top w:val="single" w:color="CCCCCC" w:sz="1"/>
              <w:left w:val="single" w:color="CCCCCC" w:sz="1"/>
              <w:bottom w:val="single" w:color="CCCCCC" w:sz="1"/>
              <w:right w:val="single" w:color="CCCCCC" w:sz="1"/>
            </w:tcBorders>
            <w:shd w:fill="F5F5F5" w:val="clear"/>
            <w:tcMar>
              <w:top w:type="dxa" w:w="75"/>
              <w:left w:type="dxa" w:w="100"/>
              <w:bottom w:type="dxa" w:w="75"/>
              <w:right w:type="dxa" w:w="100"/>
            </w:tcMar>
          </w:tcPr>
          <w:p>
            <w:r>
              <w:rPr>
                <w:rFonts w:ascii="Arial" w:cs="Arial" w:eastAsia="Arial" w:hAnsi="Arial"/>
                <w:color w:val="1A1A1A"/>
                <w:sz w:val="20"/>
                <w:szCs w:val="20"/>
              </w:rPr>
              <w:t xml:space="preserve">error { error: LLMError }</w:t>
            </w:r>
          </w:p>
        </w:tc>
      </w:tr>
    </w:tbl>
    <w:p>
      <w:pPr>
        <w:spacing w:after="0" w:before="60"/>
      </w:pPr>
      <w:r>
        <w:t xml:space="preserve"/>
      </w:r>
    </w:p>
    <w:p>
      <w:pPr>
        <w:pStyle w:val="Heading2"/>
        <w:spacing w:after="80" w:before="280"/>
      </w:pPr>
      <w:r>
        <w:rPr>
          <w:rFonts w:ascii="Arial" w:cs="Arial" w:eastAsia="Arial" w:hAnsi="Arial"/>
          <w:b/>
          <w:bCs/>
          <w:color w:val="2E75B6"/>
          <w:sz w:val="28"/>
          <w:szCs w:val="28"/>
        </w:rPr>
        <w:t xml:space="preserve">5. Conversation Object</w:t>
      </w:r>
    </w:p>
    <w:p>
      <w:pPr>
        <w:spacing w:after="70" w:before="70"/>
      </w:pPr>
      <w:r>
        <w:rPr>
          <w:rFonts w:ascii="Arial" w:cs="Arial" w:eastAsia="Arial" w:hAnsi="Arial"/>
          <w:color w:val="1A1A1A"/>
          <w:sz w:val="22"/>
          <w:szCs w:val="22"/>
        </w:rPr>
        <w:t xml:space="preserve">The Responses API has a conversation parameter that groups responses into a named conversation. Input/output items auto-appended. We implement the equivalent via our sessionId — every session IS a conversation. The session store auto-appends input and output on every send().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5E20" w:val="clear"/>
            <w:tcMar>
              <w:top w:type="dxa" w:w="120"/>
              <w:left w:type="dxa" w:w="200"/>
              <w:bottom w:type="dxa" w:w="120"/>
              <w:right w:type="dxa" w:w="200"/>
            </w:tcMar>
          </w:tcPr>
          <w:p>
            <w:r>
              <w:rPr>
                <w:rFonts w:ascii="Arial" w:cs="Arial" w:eastAsia="Arial" w:hAnsi="Arial"/>
                <w:b/>
                <w:bCs/>
                <w:color w:val="FFFFFF"/>
                <w:sz w:val="30"/>
                <w:szCs w:val="30"/>
              </w:rPr>
              <w:t xml:space="preserve">Phase 1 — Foundation</w:t>
            </w:r>
          </w:p>
        </w:tc>
      </w:tr>
    </w:tbl>
    <w:p>
      <w:pPr>
        <w:spacing w:after="0" w:before="60"/>
      </w:pPr>
      <w:r>
        <w:t xml:space="preserve"/>
      </w:r>
    </w:p>
    <w:p>
      <w:pPr>
        <w:pStyle w:val="Heading1"/>
        <w:pBdr>
          <w:bottom w:val="single" w:color="2E75B6" w:sz="8" w:space="4"/>
        </w:pBdr>
        <w:spacing w:after="120" w:before="360"/>
      </w:pPr>
      <w:r>
        <w:rPr>
          <w:rFonts w:ascii="Arial" w:cs="Arial" w:eastAsia="Arial" w:hAnsi="Arial"/>
          <w:b/>
          <w:bCs/>
          <w:color w:val="1F4E79"/>
          <w:sz w:val="36"/>
          <w:szCs w:val="36"/>
        </w:rPr>
        <w:t xml:space="preserve">Phase 1 — Foundation</w:t>
      </w:r>
    </w:p>
    <w:p>
      <w:pPr>
        <w:spacing w:after="70" w:before="70"/>
      </w:pPr>
      <w:r>
        <w:rPr>
          <w:rFonts w:ascii="Arial" w:cs="Arial" w:eastAsia="Arial" w:hAnsi="Arial"/>
          <w:color w:val="1A1A1A"/>
          <w:sz w:val="22"/>
          <w:szCs w:val="22"/>
        </w:rPr>
        <w:t xml:space="preserve">Core project infrastructure. All utilities needed by every other component. Build this first — nothing else can start without it.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3000"/>
        <w:gridCol w:w="560"/>
        <w:gridCol w:w="600"/>
        <w:gridCol w:w="700"/>
        <w:gridCol w:w="140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rFonts w:ascii="Arial" w:cs="Arial" w:eastAsia="Arial" w:hAnsi="Arial"/>
                <w:b/>
                <w:bCs/>
                <w:color w:val="FFFFFF"/>
                <w:sz w:val="20"/>
                <w:szCs w:val="20"/>
              </w:rPr>
              <w:t xml:space="preserve">ID</w:t>
            </w:r>
          </w:p>
        </w:tc>
        <w:tc>
          <w:tcPr>
            <w:tcW w:type="dxa" w:w="2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Task / Subtask</w:t>
            </w:r>
          </w:p>
        </w:tc>
        <w:tc>
          <w:tcPr>
            <w:tcW w:type="dxa" w:w="3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Description &amp; Acceptance Criteria</w:t>
            </w:r>
          </w:p>
        </w:tc>
        <w:tc>
          <w:tcPr>
            <w:tcW w:type="dxa" w:w="56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rFonts w:ascii="Arial" w:cs="Arial" w:eastAsia="Arial" w:hAnsi="Arial"/>
                <w:b/>
                <w:bCs/>
                <w:color w:val="FFFFFF"/>
                <w:sz w:val="20"/>
                <w:szCs w:val="20"/>
              </w:rPr>
              <w:t xml:space="preserve">Pri</w:t>
            </w:r>
          </w:p>
        </w:tc>
        <w:tc>
          <w:tcPr>
            <w:tcW w:type="dxa" w:w="6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rFonts w:ascii="Arial" w:cs="Arial" w:eastAsia="Arial" w:hAnsi="Arial"/>
                <w:b/>
                <w:bCs/>
                <w:color w:val="FFFFFF"/>
                <w:sz w:val="20"/>
                <w:szCs w:val="20"/>
              </w:rPr>
              <w:t xml:space="preserve">Phase</w:t>
            </w:r>
          </w:p>
        </w:tc>
        <w:tc>
          <w:tcPr>
            <w:tcW w:type="dxa" w:w="7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rFonts w:ascii="Arial" w:cs="Arial" w:eastAsia="Arial" w:hAnsi="Arial"/>
                <w:b/>
                <w:bCs/>
                <w:color w:val="FFFFFF"/>
                <w:sz w:val="20"/>
                <w:szCs w:val="20"/>
              </w:rPr>
              <w:t xml:space="preserve">Effort</w:t>
            </w:r>
          </w:p>
        </w:tc>
        <w:tc>
          <w:tcPr>
            <w:tcW w:type="dxa" w:w="14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20"/>
                <w:szCs w:val="20"/>
              </w:rPr>
              <w:t xml:space="preserve">Dependencies</w:t>
            </w:r>
          </w:p>
        </w:tc>
      </w:tr>
      <w:tr>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F4E79"/>
                <w:sz w:val="20"/>
                <w:szCs w:val="20"/>
              </w:rPr>
              <w:t xml:space="preserve">T-01</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21"/>
                <w:szCs w:val="21"/>
              </w:rPr>
              <w:t xml:space="preserve">Project Setup</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20"/>
                <w:szCs w:val="20"/>
              </w:rPr>
              <w:t xml:space="preserve">Initialise TypeScript monorepo, tsconfig, build pipeline, test framework, CI</w:t>
            </w:r>
          </w:p>
        </w:tc>
        <w:tc>
          <w:tcPr>
            <w:tcW w:type="dxa" w:w="560"/>
            <w:tcBorders>
              <w:top w:val="single" w:color="CCCCCC" w:sz="1"/>
              <w:left w:val="single" w:color="CCCCCC" w:sz="1"/>
              <w:bottom w:val="single" w:color="CCCCCC" w:sz="1"/>
              <w:right w:val="single" w:color="CCCCCC" w:sz="1"/>
            </w:tcBorders>
            <w:shd w:fill="B71C1C" w:val="clear"/>
            <w:tcMar>
              <w:top w:type="dxa" w:w="70"/>
              <w:left w:type="dxa" w:w="80"/>
              <w:bottom w:type="dxa" w:w="70"/>
              <w:right w:type="dxa" w:w="80"/>
            </w:tcMar>
            <w:vAlign w:val="center"/>
          </w:tcPr>
          <w:p>
            <w:pPr>
              <w:jc w:val="center"/>
            </w:pPr>
            <w:r>
              <w:rPr>
                <w:rFonts w:ascii="Arial" w:cs="Arial" w:eastAsia="Arial" w:hAnsi="Arial"/>
                <w:b/>
                <w:bCs/>
                <w:color w:val="FFFFFF"/>
                <w:sz w:val="20"/>
                <w:szCs w:val="20"/>
              </w:rPr>
              <w:t xml:space="preserve">P0</w:t>
            </w:r>
          </w:p>
        </w:tc>
        <w:tc>
          <w:tcPr>
            <w:tcW w:type="dxa" w:w="6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color w:val="1A1A1A"/>
                <w:sz w:val="20"/>
                <w:szCs w:val="20"/>
              </w:rPr>
              <w:t xml:space="preserve">1</w:t>
            </w:r>
          </w:p>
        </w:tc>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color w:val="1A1A1A"/>
                <w:sz w:val="20"/>
                <w:szCs w:val="20"/>
              </w:rPr>
              <w:t xml:space="preserve">0.5d</w:t>
            </w:r>
          </w:p>
        </w:tc>
        <w:tc>
          <w:tcPr>
            <w:tcW w:type="dxa" w:w="14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rFonts w:ascii="Arial" w:cs="Arial" w:eastAsia="Arial" w:hAnsi="Arial"/>
                <w:i/>
                <w:iCs/>
                <w:color w:val="666666"/>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T-01.1</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Init package.json</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Name, version, exports map for treeshaking, engines: node&gt;=18</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1</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1h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T-01.2</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tsconfig.json</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strict:true, target:ES2022, moduleResolution:bundler, declaration:true, composite for project refs</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1</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1h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T-01.3</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Build pipeline</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tsup for dual CJS+ESM output. Single bundle per provider adapter for treeshaking. Source maps.</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1</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2h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T-01.4</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Test framework</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Vitest. Global test setup with mock fetch. Coverage reporter (&gt;=90% target). E2E test tags.</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1</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1h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T-01.5</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CI/CD</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GitHub Actions: typecheck → lint → test → build on every PR. Fail on coverage drop.</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1</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1h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T-01.6</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Linting</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ESLint + Prettier. No-any rule on src/**. Import sort order enforced.</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1</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1h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F4E79"/>
                <w:sz w:val="20"/>
                <w:szCs w:val="20"/>
              </w:rPr>
              <w:t xml:space="preserve">T-02</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21"/>
                <w:szCs w:val="21"/>
              </w:rPr>
              <w:t xml:space="preserve">Core Type Definitions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20"/>
                <w:szCs w:val="20"/>
              </w:rPr>
              <w:t xml:space="preserve">All shared TypeScript interfaces — the contract every adapter must satisfy</w:t>
            </w:r>
          </w:p>
        </w:tc>
        <w:tc>
          <w:tcPr>
            <w:tcW w:type="dxa" w:w="560"/>
            <w:tcBorders>
              <w:top w:val="single" w:color="CCCCCC" w:sz="1"/>
              <w:left w:val="single" w:color="CCCCCC" w:sz="1"/>
              <w:bottom w:val="single" w:color="CCCCCC" w:sz="1"/>
              <w:right w:val="single" w:color="CCCCCC" w:sz="1"/>
            </w:tcBorders>
            <w:shd w:fill="B71C1C" w:val="clear"/>
            <w:tcMar>
              <w:top w:type="dxa" w:w="70"/>
              <w:left w:type="dxa" w:w="80"/>
              <w:bottom w:type="dxa" w:w="70"/>
              <w:right w:type="dxa" w:w="80"/>
            </w:tcMar>
            <w:vAlign w:val="center"/>
          </w:tcPr>
          <w:p>
            <w:pPr>
              <w:jc w:val="center"/>
            </w:pPr>
            <w:r>
              <w:rPr>
                <w:rFonts w:ascii="Arial" w:cs="Arial" w:eastAsia="Arial" w:hAnsi="Arial"/>
                <w:b/>
                <w:bCs/>
                <w:color w:val="FFFFFF"/>
                <w:sz w:val="20"/>
                <w:szCs w:val="20"/>
              </w:rPr>
              <w:t xml:space="preserve">P0</w:t>
            </w:r>
          </w:p>
        </w:tc>
        <w:tc>
          <w:tcPr>
            <w:tcW w:type="dxa" w:w="6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color w:val="1A1A1A"/>
                <w:sz w:val="20"/>
                <w:szCs w:val="20"/>
              </w:rPr>
              <w:t xml:space="preserve">1</w:t>
            </w:r>
          </w:p>
        </w:tc>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color w:val="1A1A1A"/>
                <w:sz w:val="20"/>
                <w:szCs w:val="20"/>
              </w:rPr>
              <w:t xml:space="preserve">1d</w:t>
            </w:r>
          </w:p>
        </w:tc>
        <w:tc>
          <w:tcPr>
            <w:tcW w:type="dxa" w:w="14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rFonts w:ascii="Arial" w:cs="Arial" w:eastAsia="Arial" w:hAnsi="Arial"/>
                <w:i/>
                <w:iCs/>
                <w:color w:val="666666"/>
                <w:sz w:val="19"/>
                <w:szCs w:val="19"/>
              </w:rPr>
              <w:t xml:space="preserve">T-01</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T-02.1</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CanonicalMessage types</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CanonicalRole, CanonicalMessage, CanonicalPart (text | image | tool_call | tool_result)</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1</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2h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T-02.2</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CanonicalResponse type</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text, toolCalls, finishReason (union), model, provider, usage{inputTokens, outputTokens, cachedTokens, costUSD, cost}, raw</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1</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2h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T-02.3</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StreamChunk types</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Discriminated union: text-delta | tool-call-start | tool-call-delta | tool-call-result | done | error</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1</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2h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T-02.4</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CanonicalTool type</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Tool definition schema — name, description, parameters (JSON Schema subset), execute() optional</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1</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1h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T-02.5</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UsageEvent type</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timestamp, provider, model, inputTokens, outputTokens, cachedTokens, costUSD, tenantId?, sessionId?, botId?, durationMs, finishReason</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1</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1h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T-02.6</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Error class hierarchy</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LLMError base → AuthenticationError, RateLimitError, ContextLimitError, ProviderCapabilityError, BudgetExceededError, MaxToolRoundsError, ProviderError</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1</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2h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T-02.7</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Provider capability matrix type</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ModelInfo: contextWindow, supportsVision, supportsTools, supportsStreaming, inputPrice, outputPrice, cacheReadPrice, cacheWritePrice</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1</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1h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F4E79"/>
                <w:sz w:val="20"/>
                <w:szCs w:val="20"/>
              </w:rPr>
              <w:t xml:space="preserve">T-03</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21"/>
                <w:szCs w:val="21"/>
              </w:rPr>
              <w:t xml:space="preserve">Model Registry</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20"/>
                <w:szCs w:val="20"/>
              </w:rPr>
              <w:t xml:space="preserve">Central database of all supported models with capabilities and pricing</w:t>
            </w:r>
          </w:p>
        </w:tc>
        <w:tc>
          <w:tcPr>
            <w:tcW w:type="dxa" w:w="560"/>
            <w:tcBorders>
              <w:top w:val="single" w:color="CCCCCC" w:sz="1"/>
              <w:left w:val="single" w:color="CCCCCC" w:sz="1"/>
              <w:bottom w:val="single" w:color="CCCCCC" w:sz="1"/>
              <w:right w:val="single" w:color="CCCCCC" w:sz="1"/>
            </w:tcBorders>
            <w:shd w:fill="B71C1C" w:val="clear"/>
            <w:tcMar>
              <w:top w:type="dxa" w:w="70"/>
              <w:left w:type="dxa" w:w="80"/>
              <w:bottom w:type="dxa" w:w="70"/>
              <w:right w:type="dxa" w:w="80"/>
            </w:tcMar>
            <w:vAlign w:val="center"/>
          </w:tcPr>
          <w:p>
            <w:pPr>
              <w:jc w:val="center"/>
            </w:pPr>
            <w:r>
              <w:rPr>
                <w:rFonts w:ascii="Arial" w:cs="Arial" w:eastAsia="Arial" w:hAnsi="Arial"/>
                <w:b/>
                <w:bCs/>
                <w:color w:val="FFFFFF"/>
                <w:sz w:val="20"/>
                <w:szCs w:val="20"/>
              </w:rPr>
              <w:t xml:space="preserve">P0</w:t>
            </w:r>
          </w:p>
        </w:tc>
        <w:tc>
          <w:tcPr>
            <w:tcW w:type="dxa" w:w="6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color w:val="1A1A1A"/>
                <w:sz w:val="20"/>
                <w:szCs w:val="20"/>
              </w:rPr>
              <w:t xml:space="preserve">1</w:t>
            </w:r>
          </w:p>
        </w:tc>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color w:val="1A1A1A"/>
                <w:sz w:val="20"/>
                <w:szCs w:val="20"/>
              </w:rPr>
              <w:t xml:space="preserve">0.5d</w:t>
            </w:r>
          </w:p>
        </w:tc>
        <w:tc>
          <w:tcPr>
            <w:tcW w:type="dxa" w:w="14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rFonts w:ascii="Arial" w:cs="Arial" w:eastAsia="Arial" w:hAnsi="Arial"/>
                <w:i/>
                <w:iCs/>
                <w:color w:val="666666"/>
                <w:sz w:val="19"/>
                <w:szCs w:val="19"/>
              </w:rPr>
              <w:t xml:space="preserve">T-02</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T-03.1</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prices.json</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Adapt from LiteLLM MIT-licensed source. All 12 launch models. Fields: input/output/cacheRead/cacheWrite per 1M tokens. lastUpdated field.</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1</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2h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T-03.2</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ModelRegistry class</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list(), get(modelId), register(custom), isSupported(). Throws ProviderCapabilityError for unknown models.</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1</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2h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T-03.3</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Capability check logic</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Pre-call validation: tool calling, vision, streaming. Clear error message naming the unsupported feature + model.</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1</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1h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T-03.4</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Price override API</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LLMClient.updatePrices(overrides) merges into registry at runtime without library upgrade.</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1</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1h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T-03.5</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Staleness warning</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Dev-mode console warning if any model price.lastUpdated &gt; 90 days.</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1</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0.5h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F4E79"/>
                <w:sz w:val="20"/>
                <w:szCs w:val="20"/>
              </w:rPr>
              <w:t xml:space="preserve">T-04</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21"/>
                <w:szCs w:val="21"/>
              </w:rPr>
              <w:t xml:space="preserve">SSE Parser Utility</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20"/>
                <w:szCs w:val="20"/>
              </w:rPr>
              <w:t xml:space="preserve">Zero-dependency SSE parser using native Node 18+ ReadableStream. Shared by all three provider adapters.</w:t>
            </w:r>
          </w:p>
        </w:tc>
        <w:tc>
          <w:tcPr>
            <w:tcW w:type="dxa" w:w="560"/>
            <w:tcBorders>
              <w:top w:val="single" w:color="CCCCCC" w:sz="1"/>
              <w:left w:val="single" w:color="CCCCCC" w:sz="1"/>
              <w:bottom w:val="single" w:color="CCCCCC" w:sz="1"/>
              <w:right w:val="single" w:color="CCCCCC" w:sz="1"/>
            </w:tcBorders>
            <w:shd w:fill="B71C1C" w:val="clear"/>
            <w:tcMar>
              <w:top w:type="dxa" w:w="70"/>
              <w:left w:type="dxa" w:w="80"/>
              <w:bottom w:type="dxa" w:w="70"/>
              <w:right w:type="dxa" w:w="80"/>
            </w:tcMar>
            <w:vAlign w:val="center"/>
          </w:tcPr>
          <w:p>
            <w:pPr>
              <w:jc w:val="center"/>
            </w:pPr>
            <w:r>
              <w:rPr>
                <w:rFonts w:ascii="Arial" w:cs="Arial" w:eastAsia="Arial" w:hAnsi="Arial"/>
                <w:b/>
                <w:bCs/>
                <w:color w:val="FFFFFF"/>
                <w:sz w:val="20"/>
                <w:szCs w:val="20"/>
              </w:rPr>
              <w:t xml:space="preserve">P0</w:t>
            </w:r>
          </w:p>
        </w:tc>
        <w:tc>
          <w:tcPr>
            <w:tcW w:type="dxa" w:w="6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color w:val="1A1A1A"/>
                <w:sz w:val="20"/>
                <w:szCs w:val="20"/>
              </w:rPr>
              <w:t xml:space="preserve">1</w:t>
            </w:r>
          </w:p>
        </w:tc>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color w:val="1A1A1A"/>
                <w:sz w:val="20"/>
                <w:szCs w:val="20"/>
              </w:rPr>
              <w:t xml:space="preserve">0.5d</w:t>
            </w:r>
          </w:p>
        </w:tc>
        <w:tc>
          <w:tcPr>
            <w:tcW w:type="dxa" w:w="14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rFonts w:ascii="Arial" w:cs="Arial" w:eastAsia="Arial" w:hAnsi="Arial"/>
                <w:i/>
                <w:iCs/>
                <w:color w:val="666666"/>
                <w:sz w:val="19"/>
                <w:szCs w:val="19"/>
              </w:rPr>
              <w:t xml:space="preserve">T-01</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T-04.1</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parseSSE() generator</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AsyncGenerator&lt;string&gt;. Reads ReadableStream, TextDecoder, buffers partial lines, yields data: payloads. Skips [DONE].</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1</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2h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T-04.2</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Edge cases</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Handle multi-line data: payloads, empty lines, comment lines (:), connection close mid-stream without sentinel.</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1</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2h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T-04.3</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Unit tests</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Test: normal stream, [DONE] sentinel, mid-stream close, chunked buffers, empty events, unicode safety.</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1</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2h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F4E79"/>
                <w:sz w:val="20"/>
                <w:szCs w:val="20"/>
              </w:rPr>
              <w:t xml:space="preserve">T-05</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21"/>
                <w:szCs w:val="21"/>
              </w:rPr>
              <w:t xml:space="preserve">Retry &amp; Backoff Utility</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20"/>
                <w:szCs w:val="20"/>
              </w:rPr>
              <w:t xml:space="preserve">Shared retry logic with exponential backoff + jitter. Handles all three providers' rate limit patterns.</w:t>
            </w:r>
          </w:p>
        </w:tc>
        <w:tc>
          <w:tcPr>
            <w:tcW w:type="dxa" w:w="560"/>
            <w:tcBorders>
              <w:top w:val="single" w:color="CCCCCC" w:sz="1"/>
              <w:left w:val="single" w:color="CCCCCC" w:sz="1"/>
              <w:bottom w:val="single" w:color="CCCCCC" w:sz="1"/>
              <w:right w:val="single" w:color="CCCCCC" w:sz="1"/>
            </w:tcBorders>
            <w:shd w:fill="B71C1C" w:val="clear"/>
            <w:tcMar>
              <w:top w:type="dxa" w:w="70"/>
              <w:left w:type="dxa" w:w="80"/>
              <w:bottom w:type="dxa" w:w="70"/>
              <w:right w:type="dxa" w:w="80"/>
            </w:tcMar>
            <w:vAlign w:val="center"/>
          </w:tcPr>
          <w:p>
            <w:pPr>
              <w:jc w:val="center"/>
            </w:pPr>
            <w:r>
              <w:rPr>
                <w:rFonts w:ascii="Arial" w:cs="Arial" w:eastAsia="Arial" w:hAnsi="Arial"/>
                <w:b/>
                <w:bCs/>
                <w:color w:val="FFFFFF"/>
                <w:sz w:val="20"/>
                <w:szCs w:val="20"/>
              </w:rPr>
              <w:t xml:space="preserve">P0</w:t>
            </w:r>
          </w:p>
        </w:tc>
        <w:tc>
          <w:tcPr>
            <w:tcW w:type="dxa" w:w="6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color w:val="1A1A1A"/>
                <w:sz w:val="20"/>
                <w:szCs w:val="20"/>
              </w:rPr>
              <w:t xml:space="preserve">1</w:t>
            </w:r>
          </w:p>
        </w:tc>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color w:val="1A1A1A"/>
                <w:sz w:val="20"/>
                <w:szCs w:val="20"/>
              </w:rPr>
              <w:t xml:space="preserve">0.5d</w:t>
            </w:r>
          </w:p>
        </w:tc>
        <w:tc>
          <w:tcPr>
            <w:tcW w:type="dxa" w:w="14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rFonts w:ascii="Arial" w:cs="Arial" w:eastAsia="Arial" w:hAnsi="Arial"/>
                <w:i/>
                <w:iCs/>
                <w:color w:val="666666"/>
                <w:sz w:val="19"/>
                <w:szCs w:val="19"/>
              </w:rPr>
              <w:t xml:space="preserve">T-02</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T-05.1</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withRetry() function</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maxAttempts (default 3), baseMs (1000), maxMs (30000). Returns Response or throws. Never retries 400/401/403.</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1</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2h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T-05.2</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Retry-After header parsing</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Parse numeric seconds, ISO date strings. Used by Anthropic + OpenAI. Falls back to exponential.</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1</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1h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T-05.3</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Gemini retryDelay parsing</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Parse retryDelay from error.details[]. Gemini does not use Retry-After headers.</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1</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1h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T-05.4</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Jitter</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Random jitter 0–500ms added to every backoff to prevent thundering herd.</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1</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0.5h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T-05.5</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Unit tests</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Test: 429 with Retry-After, 429 without header, 500 retry, 400 no-retry, max attempts exceeded.</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1</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2h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F4E79"/>
                <w:sz w:val="20"/>
                <w:szCs w:val="20"/>
              </w:rPr>
              <w:t xml:space="preserve">T-06</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21"/>
                <w:szCs w:val="21"/>
              </w:rPr>
              <w:t xml:space="preserve">Cost Calculator</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20"/>
                <w:szCs w:val="20"/>
              </w:rPr>
              <w:t xml:space="preserve">Per-call USD cost from token counts and prices.json. Accurate for cached tokens.</w:t>
            </w:r>
          </w:p>
        </w:tc>
        <w:tc>
          <w:tcPr>
            <w:tcW w:type="dxa" w:w="560"/>
            <w:tcBorders>
              <w:top w:val="single" w:color="CCCCCC" w:sz="1"/>
              <w:left w:val="single" w:color="CCCCCC" w:sz="1"/>
              <w:bottom w:val="single" w:color="CCCCCC" w:sz="1"/>
              <w:right w:val="single" w:color="CCCCCC" w:sz="1"/>
            </w:tcBorders>
            <w:shd w:fill="B71C1C" w:val="clear"/>
            <w:tcMar>
              <w:top w:type="dxa" w:w="70"/>
              <w:left w:type="dxa" w:w="80"/>
              <w:bottom w:type="dxa" w:w="70"/>
              <w:right w:type="dxa" w:w="80"/>
            </w:tcMar>
            <w:vAlign w:val="center"/>
          </w:tcPr>
          <w:p>
            <w:pPr>
              <w:jc w:val="center"/>
            </w:pPr>
            <w:r>
              <w:rPr>
                <w:rFonts w:ascii="Arial" w:cs="Arial" w:eastAsia="Arial" w:hAnsi="Arial"/>
                <w:b/>
                <w:bCs/>
                <w:color w:val="FFFFFF"/>
                <w:sz w:val="20"/>
                <w:szCs w:val="20"/>
              </w:rPr>
              <w:t xml:space="preserve">P0</w:t>
            </w:r>
          </w:p>
        </w:tc>
        <w:tc>
          <w:tcPr>
            <w:tcW w:type="dxa" w:w="6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color w:val="1A1A1A"/>
                <w:sz w:val="20"/>
                <w:szCs w:val="20"/>
              </w:rPr>
              <w:t xml:space="preserve">1</w:t>
            </w:r>
          </w:p>
        </w:tc>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color w:val="1A1A1A"/>
                <w:sz w:val="20"/>
                <w:szCs w:val="20"/>
              </w:rPr>
              <w:t xml:space="preserve">0.5d</w:t>
            </w:r>
          </w:p>
        </w:tc>
        <w:tc>
          <w:tcPr>
            <w:tcW w:type="dxa" w:w="14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rFonts w:ascii="Arial" w:cs="Arial" w:eastAsia="Arial" w:hAnsi="Arial"/>
                <w:i/>
                <w:iCs/>
                <w:color w:val="666666"/>
                <w:sz w:val="19"/>
                <w:szCs w:val="19"/>
              </w:rPr>
              <w:t xml:space="preserve">T-03</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T-06.1</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calcCostUSD() function</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inputTokens, outputTokens, cachedReadTokens, cachedWriteTokens, model → USD number. Uses ModelRegistry prices.</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1</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2h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T-06.2</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Cost formatter</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formatCost(usd) → '$0.0023'. Handles sub-cent and large values gracefully.</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1</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0.5h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T-06.3</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Provider usage normalisation</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Three functions: anthropicUsageToCanonical(), openaiUsageToCanonical(), geminiUsageToCanonical(). Maps provider usage fields to {inputTokens, outputTokens, cachedTokens}.</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1</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2h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T-06.4</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Unit tests</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Test: all 12 models, cached tokens, zero-cost edge cases, unknown model returns 0.</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1</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1h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F4E79"/>
                <w:sz w:val="20"/>
                <w:szCs w:val="20"/>
              </w:rPr>
              <w:t xml:space="preserve">T-07</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21"/>
                <w:szCs w:val="21"/>
              </w:rPr>
              <w:t xml:space="preserve">Token Estimator</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20"/>
                <w:szCs w:val="20"/>
              </w:rPr>
              <w:t xml:space="preserve">Character-based token estimation for pre-flight context checks. No dependencies.</w:t>
            </w:r>
          </w:p>
        </w:tc>
        <w:tc>
          <w:tcPr>
            <w:tcW w:type="dxa" w:w="560"/>
            <w:tcBorders>
              <w:top w:val="single" w:color="CCCCCC" w:sz="1"/>
              <w:left w:val="single" w:color="CCCCCC" w:sz="1"/>
              <w:bottom w:val="single" w:color="CCCCCC" w:sz="1"/>
              <w:right w:val="single" w:color="CCCCCC" w:sz="1"/>
            </w:tcBorders>
            <w:shd w:fill="B71C1C" w:val="clear"/>
            <w:tcMar>
              <w:top w:type="dxa" w:w="70"/>
              <w:left w:type="dxa" w:w="80"/>
              <w:bottom w:type="dxa" w:w="70"/>
              <w:right w:type="dxa" w:w="80"/>
            </w:tcMar>
            <w:vAlign w:val="center"/>
          </w:tcPr>
          <w:p>
            <w:pPr>
              <w:jc w:val="center"/>
            </w:pPr>
            <w:r>
              <w:rPr>
                <w:rFonts w:ascii="Arial" w:cs="Arial" w:eastAsia="Arial" w:hAnsi="Arial"/>
                <w:b/>
                <w:bCs/>
                <w:color w:val="FFFFFF"/>
                <w:sz w:val="20"/>
                <w:szCs w:val="20"/>
              </w:rPr>
              <w:t xml:space="preserve">P0</w:t>
            </w:r>
          </w:p>
        </w:tc>
        <w:tc>
          <w:tcPr>
            <w:tcW w:type="dxa" w:w="6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color w:val="1A1A1A"/>
                <w:sz w:val="20"/>
                <w:szCs w:val="20"/>
              </w:rPr>
              <w:t xml:space="preserve">1</w:t>
            </w:r>
          </w:p>
        </w:tc>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color w:val="1A1A1A"/>
                <w:sz w:val="20"/>
                <w:szCs w:val="20"/>
              </w:rPr>
              <w:t xml:space="preserve">0.25d</w:t>
            </w:r>
          </w:p>
        </w:tc>
        <w:tc>
          <w:tcPr>
            <w:tcW w:type="dxa" w:w="14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rFonts w:ascii="Arial" w:cs="Arial" w:eastAsia="Arial" w:hAnsi="Arial"/>
                <w:i/>
                <w:iCs/>
                <w:color w:val="666666"/>
                <w:sz w:val="19"/>
                <w:szCs w:val="19"/>
              </w:rPr>
              <w:t xml:space="preserve">T-01</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T-07.1</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estimateTokens(text)</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~3.5 chars per token. Returns ceiling integer. For English; documented as ±10% accuracy.</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1</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0.5h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T-07.2</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estimateMessageTokens(messages[])</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Sums content of all messages + ~4 tokens overhead per message.</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1</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1h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T-07.3</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Provider counting API wrappers</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anthropicCountTokens(), geminiCountTokens() — call provider's exact counting endpoint. Returns Promise&lt;number&gt;. Used when higher accuracy needed.</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1</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3h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4D40" w:val="clear"/>
            <w:tcMar>
              <w:top w:type="dxa" w:w="120"/>
              <w:left w:type="dxa" w:w="200"/>
              <w:bottom w:type="dxa" w:w="120"/>
              <w:right w:type="dxa" w:w="200"/>
            </w:tcMar>
          </w:tcPr>
          <w:p>
            <w:r>
              <w:rPr>
                <w:rFonts w:ascii="Arial" w:cs="Arial" w:eastAsia="Arial" w:hAnsi="Arial"/>
                <w:b/>
                <w:bCs/>
                <w:color w:val="FFFFFF"/>
                <w:sz w:val="30"/>
                <w:szCs w:val="30"/>
              </w:rPr>
              <w:t xml:space="preserve">Phase 2 — Provider Adapters</w:t>
            </w:r>
          </w:p>
        </w:tc>
      </w:tr>
    </w:tbl>
    <w:p>
      <w:pPr>
        <w:spacing w:after="0" w:before="60"/>
      </w:pPr>
      <w:r>
        <w:t xml:space="preserve"/>
      </w:r>
    </w:p>
    <w:p>
      <w:pPr>
        <w:pStyle w:val="Heading1"/>
        <w:pBdr>
          <w:bottom w:val="single" w:color="2E75B6" w:sz="8" w:space="4"/>
        </w:pBdr>
        <w:spacing w:after="120" w:before="360"/>
      </w:pPr>
      <w:r>
        <w:rPr>
          <w:rFonts w:ascii="Arial" w:cs="Arial" w:eastAsia="Arial" w:hAnsi="Arial"/>
          <w:b/>
          <w:bCs/>
          <w:color w:val="1F4E79"/>
          <w:sz w:val="36"/>
          <w:szCs w:val="36"/>
        </w:rPr>
        <w:t xml:space="preserve">Phase 2 — Provider Adapters</w:t>
      </w:r>
    </w:p>
    <w:p>
      <w:pPr>
        <w:spacing w:after="70" w:before="70"/>
      </w:pPr>
      <w:r>
        <w:rPr>
          <w:rFonts w:ascii="Arial" w:cs="Arial" w:eastAsia="Arial" w:hAnsi="Arial"/>
          <w:color w:val="1A1A1A"/>
          <w:sz w:val="22"/>
          <w:szCs w:val="22"/>
        </w:rPr>
        <w:t xml:space="preserve">The three raw-fetch adapters. No SDK dependencies. Each adapter: translates canonical format → provider format, calls the API, translates response → canonical format, handles streaming, and maps errors to typed error classes.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110"/>
              <w:left w:type="dxa" w:w="180"/>
              <w:bottom w:type="dxa" w:w="110"/>
              <w:right w:type="dxa" w:w="180"/>
            </w:tcMar>
          </w:tcPr>
          <w:p>
            <w:pPr>
              <w:spacing w:after="40" w:before="0"/>
            </w:pPr>
            <w:r>
              <w:rPr>
                <w:rFonts w:ascii="Arial" w:cs="Arial" w:eastAsia="Arial" w:hAnsi="Arial"/>
                <w:b/>
                <w:bCs/>
                <w:color w:val="7B3F00"/>
                <w:sz w:val="22"/>
                <w:szCs w:val="22"/>
              </w:rPr>
              <w:t xml:space="preserve">⚠️ Gemini Gotchas for Implementers</w:t>
            </w:r>
          </w:p>
          <w:p>
            <w:pPr>
              <w:spacing w:after="0" w:before="0"/>
            </w:pPr>
            <w:r>
              <w:rPr>
                <w:rFonts w:ascii="Arial" w:cs="Arial" w:eastAsia="Arial" w:hAnsi="Arial"/>
                <w:color w:val="1A1A1A"/>
                <w:sz w:val="22"/>
                <w:szCs w:val="22"/>
              </w:rPr>
              <w:t xml:space="preserve">1. Streaming uses a DIFFERENT endpoint (streamGenerateContent) — not stream:true on the same URL. 2. Role is 'model' not 'assistant'. 3. Tool args are already parsed objects — no JSON.parse needed. 4. finishReason STOP is ambiguous — check parts for functionCall to detect tool calls. 5. Rate limit retry delay is in error.details[].retryDelay, not a Retry-After header.</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3000"/>
        <w:gridCol w:w="560"/>
        <w:gridCol w:w="600"/>
        <w:gridCol w:w="700"/>
        <w:gridCol w:w="140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rFonts w:ascii="Arial" w:cs="Arial" w:eastAsia="Arial" w:hAnsi="Arial"/>
                <w:b/>
                <w:bCs/>
                <w:color w:val="FFFFFF"/>
                <w:sz w:val="20"/>
                <w:szCs w:val="20"/>
              </w:rPr>
              <w:t xml:space="preserve">ID</w:t>
            </w:r>
          </w:p>
        </w:tc>
        <w:tc>
          <w:tcPr>
            <w:tcW w:type="dxa" w:w="2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Task / Subtask</w:t>
            </w:r>
          </w:p>
        </w:tc>
        <w:tc>
          <w:tcPr>
            <w:tcW w:type="dxa" w:w="3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Description &amp; Acceptance Criteria</w:t>
            </w:r>
          </w:p>
        </w:tc>
        <w:tc>
          <w:tcPr>
            <w:tcW w:type="dxa" w:w="56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rFonts w:ascii="Arial" w:cs="Arial" w:eastAsia="Arial" w:hAnsi="Arial"/>
                <w:b/>
                <w:bCs/>
                <w:color w:val="FFFFFF"/>
                <w:sz w:val="20"/>
                <w:szCs w:val="20"/>
              </w:rPr>
              <w:t xml:space="preserve">Pri</w:t>
            </w:r>
          </w:p>
        </w:tc>
        <w:tc>
          <w:tcPr>
            <w:tcW w:type="dxa" w:w="6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rFonts w:ascii="Arial" w:cs="Arial" w:eastAsia="Arial" w:hAnsi="Arial"/>
                <w:b/>
                <w:bCs/>
                <w:color w:val="FFFFFF"/>
                <w:sz w:val="20"/>
                <w:szCs w:val="20"/>
              </w:rPr>
              <w:t xml:space="preserve">Phase</w:t>
            </w:r>
          </w:p>
        </w:tc>
        <w:tc>
          <w:tcPr>
            <w:tcW w:type="dxa" w:w="7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rFonts w:ascii="Arial" w:cs="Arial" w:eastAsia="Arial" w:hAnsi="Arial"/>
                <w:b/>
                <w:bCs/>
                <w:color w:val="FFFFFF"/>
                <w:sz w:val="20"/>
                <w:szCs w:val="20"/>
              </w:rPr>
              <w:t xml:space="preserve">Effort</w:t>
            </w:r>
          </w:p>
        </w:tc>
        <w:tc>
          <w:tcPr>
            <w:tcW w:type="dxa" w:w="14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20"/>
                <w:szCs w:val="20"/>
              </w:rPr>
              <w:t xml:space="preserve">Dependencies</w:t>
            </w:r>
          </w:p>
        </w:tc>
      </w:tr>
      <w:tr>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F4E79"/>
                <w:sz w:val="20"/>
                <w:szCs w:val="20"/>
              </w:rPr>
              <w:t xml:space="preserve">T-08</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21"/>
                <w:szCs w:val="21"/>
              </w:rPr>
              <w:t xml:space="preserve">Anthropic Adapter</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20"/>
                <w:szCs w:val="20"/>
              </w:rPr>
              <w:t xml:space="preserve">Raw fetch adapter for Anthropic Messages API. No SDK dependency.</w:t>
            </w:r>
          </w:p>
        </w:tc>
        <w:tc>
          <w:tcPr>
            <w:tcW w:type="dxa" w:w="560"/>
            <w:tcBorders>
              <w:top w:val="single" w:color="CCCCCC" w:sz="1"/>
              <w:left w:val="single" w:color="CCCCCC" w:sz="1"/>
              <w:bottom w:val="single" w:color="CCCCCC" w:sz="1"/>
              <w:right w:val="single" w:color="CCCCCC" w:sz="1"/>
            </w:tcBorders>
            <w:shd w:fill="B71C1C" w:val="clear"/>
            <w:tcMar>
              <w:top w:type="dxa" w:w="70"/>
              <w:left w:type="dxa" w:w="80"/>
              <w:bottom w:type="dxa" w:w="70"/>
              <w:right w:type="dxa" w:w="80"/>
            </w:tcMar>
            <w:vAlign w:val="center"/>
          </w:tcPr>
          <w:p>
            <w:pPr>
              <w:jc w:val="center"/>
            </w:pPr>
            <w:r>
              <w:rPr>
                <w:rFonts w:ascii="Arial" w:cs="Arial" w:eastAsia="Arial" w:hAnsi="Arial"/>
                <w:b/>
                <w:bCs/>
                <w:color w:val="FFFFFF"/>
                <w:sz w:val="20"/>
                <w:szCs w:val="20"/>
              </w:rPr>
              <w:t xml:space="preserve">P0</w:t>
            </w:r>
          </w:p>
        </w:tc>
        <w:tc>
          <w:tcPr>
            <w:tcW w:type="dxa" w:w="6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color w:val="1A1A1A"/>
                <w:sz w:val="20"/>
                <w:szCs w:val="20"/>
              </w:rPr>
              <w:t xml:space="preserve">2</w:t>
            </w:r>
          </w:p>
        </w:tc>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color w:val="1A1A1A"/>
                <w:sz w:val="20"/>
                <w:szCs w:val="20"/>
              </w:rPr>
              <w:t xml:space="preserve">2d</w:t>
            </w:r>
          </w:p>
        </w:tc>
        <w:tc>
          <w:tcPr>
            <w:tcW w:type="dxa" w:w="14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rFonts w:ascii="Arial" w:cs="Arial" w:eastAsia="Arial" w:hAnsi="Arial"/>
                <w:i/>
                <w:iCs/>
                <w:color w:val="666666"/>
                <w:sz w:val="19"/>
                <w:szCs w:val="19"/>
              </w:rPr>
              <w:t xml:space="preserve">T-02,T-04,T-05,T-06</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T-08.1</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Request translator</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canonical messages[] → Anthropic format. Handle: system field extraction, role mapping, image blocks, tool_use/tool_result blocks, cache_control pass-through.</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2</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3h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T-08.2</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Tool definition translator</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CanonicalTool[] → Anthropic tools[] with input_schema. ToolChoice mapping.</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2</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1h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T-08.3</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Response translator</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Anthropic response → CanonicalResponse. Parse content blocks, stop_reason → finishReason, usage normalisation.</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2</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2h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T-08.4</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fetch() call with auth</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POST /v1/messages. Headers: x-api-key, anthropic-version: 2023-06-01, content-type. Wrap with withRetry().</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2</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1h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T-08.5</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SSE stream handler</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Parse message_start, content_block_start, content_block_delta (text_delta + input_json_delta), content_block_stop, message_delta, message_stop. Buffer and JSON.parse tool input.</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2</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4h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T-08.6</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Streaming tool reassembly</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Accumulate input_json_delta fragments per content block index. JSON.parse on content_block_stop. Emit canonical tool-call-start/delta/result events.</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2</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3h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T-08.7</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Error mapping</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HTTP status + error.type → typed LLMError subclass.</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2</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1h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T-08.8</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Integration tests</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Mock fetch for all scenarios: text, tool call, streaming, cache hit, 429, 529.</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2</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3h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F4E79"/>
                <w:sz w:val="20"/>
                <w:szCs w:val="20"/>
              </w:rPr>
              <w:t xml:space="preserve">T-09</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21"/>
                <w:szCs w:val="21"/>
              </w:rPr>
              <w:t xml:space="preserve">OpenAI Adapter</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20"/>
                <w:szCs w:val="20"/>
              </w:rPr>
              <w:t xml:space="preserve">Raw fetch adapter for OpenAI Chat Completions API. No SDK dependency.</w:t>
            </w:r>
          </w:p>
        </w:tc>
        <w:tc>
          <w:tcPr>
            <w:tcW w:type="dxa" w:w="560"/>
            <w:tcBorders>
              <w:top w:val="single" w:color="CCCCCC" w:sz="1"/>
              <w:left w:val="single" w:color="CCCCCC" w:sz="1"/>
              <w:bottom w:val="single" w:color="CCCCCC" w:sz="1"/>
              <w:right w:val="single" w:color="CCCCCC" w:sz="1"/>
            </w:tcBorders>
            <w:shd w:fill="B71C1C" w:val="clear"/>
            <w:tcMar>
              <w:top w:type="dxa" w:w="70"/>
              <w:left w:type="dxa" w:w="80"/>
              <w:bottom w:type="dxa" w:w="70"/>
              <w:right w:type="dxa" w:w="80"/>
            </w:tcMar>
            <w:vAlign w:val="center"/>
          </w:tcPr>
          <w:p>
            <w:pPr>
              <w:jc w:val="center"/>
            </w:pPr>
            <w:r>
              <w:rPr>
                <w:rFonts w:ascii="Arial" w:cs="Arial" w:eastAsia="Arial" w:hAnsi="Arial"/>
                <w:b/>
                <w:bCs/>
                <w:color w:val="FFFFFF"/>
                <w:sz w:val="20"/>
                <w:szCs w:val="20"/>
              </w:rPr>
              <w:t xml:space="preserve">P0</w:t>
            </w:r>
          </w:p>
        </w:tc>
        <w:tc>
          <w:tcPr>
            <w:tcW w:type="dxa" w:w="6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color w:val="1A1A1A"/>
                <w:sz w:val="20"/>
                <w:szCs w:val="20"/>
              </w:rPr>
              <w:t xml:space="preserve">2</w:t>
            </w:r>
          </w:p>
        </w:tc>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color w:val="1A1A1A"/>
                <w:sz w:val="20"/>
                <w:szCs w:val="20"/>
              </w:rPr>
              <w:t xml:space="preserve">2d</w:t>
            </w:r>
          </w:p>
        </w:tc>
        <w:tc>
          <w:tcPr>
            <w:tcW w:type="dxa" w:w="14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rFonts w:ascii="Arial" w:cs="Arial" w:eastAsia="Arial" w:hAnsi="Arial"/>
                <w:i/>
                <w:iCs/>
                <w:color w:val="666666"/>
                <w:sz w:val="19"/>
                <w:szCs w:val="19"/>
              </w:rPr>
              <w:t xml:space="preserve">T-02,T-04,T-05,T-06</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T-09.1</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Request translator</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Canonical → OpenAI format. Handle: developer role (not system), tool messages (role:'tool'), tool_call content null, image_url parts.</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2</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3h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T-09.2</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Tool definition translator</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CanonicalTool[] → [{type:'function', function:{name,description,parameters}}]. ToolChoice mapping.</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2</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1h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T-09.3</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Response translator</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OpenAI response → CanonicalResponse. JSON.parse(tool_calls[].function.arguments). usage normalisation including prompt_tokens_details.cached_tokens.</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2</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2h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T-09.4</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fetch() call with auth</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POST /v1/chat/completions. Header: Authorization: Bearer. stream_options:{include_usage:true} when streaming. Wrap withRetry().</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2</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1h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T-09.5</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SSE stream handler</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Parse chat.completion.chunk deltas. Handle role in first chunk only. Accumulate partial tool arguments by tool_calls[].index. [DONE] sentinel.</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2</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3h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T-09.6</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Streaming tool reassembly</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Accumulate function.arguments across chunks per index. JSON.parse when finish_reason:'tool_calls'. Emit canonical stream events.</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2</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3h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T-09.7</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Error mapping</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HTTP status + error.code → typed LLMError subclass.</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2</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1h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T-09.8</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Integration tests</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Mock fetch: text, tools (parallel), streaming, cached tokens, reasoning model (o3), 429, 500.</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2</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3h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F4E79"/>
                <w:sz w:val="20"/>
                <w:szCs w:val="20"/>
              </w:rPr>
              <w:t xml:space="preserve">T-10</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21"/>
                <w:szCs w:val="21"/>
              </w:rPr>
              <w:t xml:space="preserve">Gemini Adapter</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20"/>
                <w:szCs w:val="20"/>
              </w:rPr>
              <w:t xml:space="preserve">Raw fetch adapter for Google Gemini generateContent + streamGenerateContent APIs.</w:t>
            </w:r>
          </w:p>
        </w:tc>
        <w:tc>
          <w:tcPr>
            <w:tcW w:type="dxa" w:w="560"/>
            <w:tcBorders>
              <w:top w:val="single" w:color="CCCCCC" w:sz="1"/>
              <w:left w:val="single" w:color="CCCCCC" w:sz="1"/>
              <w:bottom w:val="single" w:color="CCCCCC" w:sz="1"/>
              <w:right w:val="single" w:color="CCCCCC" w:sz="1"/>
            </w:tcBorders>
            <w:shd w:fill="B71C1C" w:val="clear"/>
            <w:tcMar>
              <w:top w:type="dxa" w:w="70"/>
              <w:left w:type="dxa" w:w="80"/>
              <w:bottom w:type="dxa" w:w="70"/>
              <w:right w:type="dxa" w:w="80"/>
            </w:tcMar>
            <w:vAlign w:val="center"/>
          </w:tcPr>
          <w:p>
            <w:pPr>
              <w:jc w:val="center"/>
            </w:pPr>
            <w:r>
              <w:rPr>
                <w:rFonts w:ascii="Arial" w:cs="Arial" w:eastAsia="Arial" w:hAnsi="Arial"/>
                <w:b/>
                <w:bCs/>
                <w:color w:val="FFFFFF"/>
                <w:sz w:val="20"/>
                <w:szCs w:val="20"/>
              </w:rPr>
              <w:t xml:space="preserve">P0</w:t>
            </w:r>
          </w:p>
        </w:tc>
        <w:tc>
          <w:tcPr>
            <w:tcW w:type="dxa" w:w="6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color w:val="1A1A1A"/>
                <w:sz w:val="20"/>
                <w:szCs w:val="20"/>
              </w:rPr>
              <w:t xml:space="preserve">2</w:t>
            </w:r>
          </w:p>
        </w:tc>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color w:val="1A1A1A"/>
                <w:sz w:val="20"/>
                <w:szCs w:val="20"/>
              </w:rPr>
              <w:t xml:space="preserve">2.5d</w:t>
            </w:r>
          </w:p>
        </w:tc>
        <w:tc>
          <w:tcPr>
            <w:tcW w:type="dxa" w:w="14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rFonts w:ascii="Arial" w:cs="Arial" w:eastAsia="Arial" w:hAnsi="Arial"/>
                <w:i/>
                <w:iCs/>
                <w:color w:val="666666"/>
                <w:sz w:val="19"/>
                <w:szCs w:val="19"/>
              </w:rPr>
              <w:t xml:space="preserve">T-02,T-04,T-05,T-06</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T-10.1</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Request translator</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Canonical → Gemini format. system → systemInstruction.parts[{text}]. assistant → model role. Tool_call → functionCall part. Tool_result → functionResponse part in USER turn.</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2</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4h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T-10.2</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Tool definition translator</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CanonicalTool[] → {functionDeclarations:[...]}. UPPERCASE type names (STRING not string). ToolConfig from ToolChoice.</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2</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2h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T-10.3</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Response translator</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Gemini response → CanonicalResponse. candidates[0].content.parts. functionCall.args is already object (no parse). Detect tool call from parts (finishReason STOP is ambiguous). usageMetadata normalisation.</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2</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3h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T-10.4</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generateContent fetch()</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POST .../models/{model}:generateContent. Header: x-goog-api-key. Wrap withRetry() with Gemini-specific retryDelay parsing.</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2</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2h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T-10.5</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streamGenerateContent fetch()</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POST .../models/{model}:streamGenerateContent?alt=sse. DIFFERENT URL — not stream:true. Each SSE chunk is a full GenerateContentResponse, not a delta.</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2</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2h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T-10.6</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Streaming text accumulation</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Concatenate candidates[0].content.parts[0].text across chunks. Usage only accurate in final chunk (finishReason != null).</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2</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2h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T-10.7</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Streaming function call handling</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Function calls arrive as a complete functionCall object in one chunk — not streamed as fragments. Emit canonical tool-call-start + tool-call-result in one step.</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2</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2h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T-10.8</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Error mapping</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HTTP status + error.status (RESOURCE_EXHAUSTED etc.) → typed LLMError. Parse retryDelay from error.details.</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2</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1h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T-10.9</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Integration tests</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Mock fetch: text, tools, streaming (concatenation), function call in stream, SAFETY block, 429 with retryDelay.</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2</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4h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r>
              <w:rPr>
                <w:rFonts w:ascii="Arial" w:cs="Arial" w:eastAsia="Arial" w:hAnsi="Arial"/>
                <w:b/>
                <w:bCs/>
                <w:color w:val="FFFFFF"/>
                <w:sz w:val="30"/>
                <w:szCs w:val="30"/>
              </w:rPr>
              <w:t xml:space="preserve">Phase 3 — Conversation Manager &amp; Session Store</w:t>
            </w:r>
          </w:p>
        </w:tc>
      </w:tr>
    </w:tbl>
    <w:p>
      <w:pPr>
        <w:spacing w:after="0" w:before="60"/>
      </w:pPr>
      <w:r>
        <w:t xml:space="preserve"/>
      </w:r>
    </w:p>
    <w:p>
      <w:pPr>
        <w:pStyle w:val="Heading1"/>
        <w:pBdr>
          <w:bottom w:val="single" w:color="2E75B6" w:sz="8" w:space="4"/>
        </w:pBdr>
        <w:spacing w:after="120" w:before="360"/>
      </w:pPr>
      <w:r>
        <w:rPr>
          <w:rFonts w:ascii="Arial" w:cs="Arial" w:eastAsia="Arial" w:hAnsi="Arial"/>
          <w:b/>
          <w:bCs/>
          <w:color w:val="1F4E79"/>
          <w:sz w:val="36"/>
          <w:szCs w:val="36"/>
        </w:rPr>
        <w:t xml:space="preserve">Phase 3 — Conversation Manager &amp; Session Store</w:t>
      </w:r>
    </w:p>
    <w:p>
      <w:pPr>
        <w:spacing w:after="70" w:before="70"/>
      </w:pPr>
      <w:r>
        <w:rPr>
          <w:rFonts w:ascii="Arial" w:cs="Arial" w:eastAsia="Arial" w:hAnsi="Arial"/>
          <w:color w:val="1A1A1A"/>
          <w:sz w:val="22"/>
          <w:szCs w:val="22"/>
        </w:rPr>
        <w:t xml:space="preserve">The Conversation class is the core of the library's value proposition. It tracks state, manages context, and abstracts away the stateless nature of provider APIs. The Session Store makes this persistent — enabling the previous_response_id pattern.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3000"/>
        <w:gridCol w:w="560"/>
        <w:gridCol w:w="600"/>
        <w:gridCol w:w="700"/>
        <w:gridCol w:w="140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rFonts w:ascii="Arial" w:cs="Arial" w:eastAsia="Arial" w:hAnsi="Arial"/>
                <w:b/>
                <w:bCs/>
                <w:color w:val="FFFFFF"/>
                <w:sz w:val="20"/>
                <w:szCs w:val="20"/>
              </w:rPr>
              <w:t xml:space="preserve">ID</w:t>
            </w:r>
          </w:p>
        </w:tc>
        <w:tc>
          <w:tcPr>
            <w:tcW w:type="dxa" w:w="2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Task / Subtask</w:t>
            </w:r>
          </w:p>
        </w:tc>
        <w:tc>
          <w:tcPr>
            <w:tcW w:type="dxa" w:w="3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Description &amp; Acceptance Criteria</w:t>
            </w:r>
          </w:p>
        </w:tc>
        <w:tc>
          <w:tcPr>
            <w:tcW w:type="dxa" w:w="56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rFonts w:ascii="Arial" w:cs="Arial" w:eastAsia="Arial" w:hAnsi="Arial"/>
                <w:b/>
                <w:bCs/>
                <w:color w:val="FFFFFF"/>
                <w:sz w:val="20"/>
                <w:szCs w:val="20"/>
              </w:rPr>
              <w:t xml:space="preserve">Pri</w:t>
            </w:r>
          </w:p>
        </w:tc>
        <w:tc>
          <w:tcPr>
            <w:tcW w:type="dxa" w:w="6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rFonts w:ascii="Arial" w:cs="Arial" w:eastAsia="Arial" w:hAnsi="Arial"/>
                <w:b/>
                <w:bCs/>
                <w:color w:val="FFFFFF"/>
                <w:sz w:val="20"/>
                <w:szCs w:val="20"/>
              </w:rPr>
              <w:t xml:space="preserve">Phase</w:t>
            </w:r>
          </w:p>
        </w:tc>
        <w:tc>
          <w:tcPr>
            <w:tcW w:type="dxa" w:w="7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rFonts w:ascii="Arial" w:cs="Arial" w:eastAsia="Arial" w:hAnsi="Arial"/>
                <w:b/>
                <w:bCs/>
                <w:color w:val="FFFFFF"/>
                <w:sz w:val="20"/>
                <w:szCs w:val="20"/>
              </w:rPr>
              <w:t xml:space="preserve">Effort</w:t>
            </w:r>
          </w:p>
        </w:tc>
        <w:tc>
          <w:tcPr>
            <w:tcW w:type="dxa" w:w="14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20"/>
                <w:szCs w:val="20"/>
              </w:rPr>
              <w:t xml:space="preserve">Dependencies</w:t>
            </w:r>
          </w:p>
        </w:tc>
      </w:tr>
      <w:tr>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F4E79"/>
                <w:sz w:val="20"/>
                <w:szCs w:val="20"/>
              </w:rPr>
              <w:t xml:space="preserve">T-11</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21"/>
                <w:szCs w:val="21"/>
              </w:rPr>
              <w:t xml:space="preserve">Conversation Manager — Core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20"/>
                <w:szCs w:val="20"/>
              </w:rPr>
              <w:t xml:space="preserve">Stateful Conversation class. Central component. Tracks history, tokens, cost per session.</w:t>
            </w:r>
          </w:p>
        </w:tc>
        <w:tc>
          <w:tcPr>
            <w:tcW w:type="dxa" w:w="560"/>
            <w:tcBorders>
              <w:top w:val="single" w:color="CCCCCC" w:sz="1"/>
              <w:left w:val="single" w:color="CCCCCC" w:sz="1"/>
              <w:bottom w:val="single" w:color="CCCCCC" w:sz="1"/>
              <w:right w:val="single" w:color="CCCCCC" w:sz="1"/>
            </w:tcBorders>
            <w:shd w:fill="B71C1C" w:val="clear"/>
            <w:tcMar>
              <w:top w:type="dxa" w:w="70"/>
              <w:left w:type="dxa" w:w="80"/>
              <w:bottom w:type="dxa" w:w="70"/>
              <w:right w:type="dxa" w:w="80"/>
            </w:tcMar>
            <w:vAlign w:val="center"/>
          </w:tcPr>
          <w:p>
            <w:pPr>
              <w:jc w:val="center"/>
            </w:pPr>
            <w:r>
              <w:rPr>
                <w:rFonts w:ascii="Arial" w:cs="Arial" w:eastAsia="Arial" w:hAnsi="Arial"/>
                <w:b/>
                <w:bCs/>
                <w:color w:val="FFFFFF"/>
                <w:sz w:val="20"/>
                <w:szCs w:val="20"/>
              </w:rPr>
              <w:t xml:space="preserve">P0</w:t>
            </w:r>
          </w:p>
        </w:tc>
        <w:tc>
          <w:tcPr>
            <w:tcW w:type="dxa" w:w="6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color w:val="1A1A1A"/>
                <w:sz w:val="20"/>
                <w:szCs w:val="20"/>
              </w:rPr>
              <w:t xml:space="preserve">3</w:t>
            </w:r>
          </w:p>
        </w:tc>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color w:val="1A1A1A"/>
                <w:sz w:val="20"/>
                <w:szCs w:val="20"/>
              </w:rPr>
              <w:t xml:space="preserve">2d</w:t>
            </w:r>
          </w:p>
        </w:tc>
        <w:tc>
          <w:tcPr>
            <w:tcW w:type="dxa" w:w="14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rFonts w:ascii="Arial" w:cs="Arial" w:eastAsia="Arial" w:hAnsi="Arial"/>
                <w:i/>
                <w:iCs/>
                <w:color w:val="666666"/>
                <w:sz w:val="19"/>
                <w:szCs w:val="19"/>
              </w:rPr>
              <w:t xml:space="preserve">T-07,T-08,T-09,T-10</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T-11.1</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Conversation class skeleton</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Constructor: sessionId, model, systemPrompt, contextStrategy, maxContextTokens, pinned[], budget. Internal state: messages[], tokenCount, totalCostUSD.</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3</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2h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T-11.2</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conv.send(text | parts)</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Appends user message, calls provider via LLMClient, appends assistant response, updates tokenCount + totalCostUSD. Returns CanonicalResponse.</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3</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3h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T-11.3</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conv.sendStream(text | parts)</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Same as send() but returns AsyncIterable&lt;StreamChunk&gt;. Updates state on 'done' chunk.</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3</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2h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T-11.4</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Token count tracking</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After every provider call, update from response.usage.inputTokens + outputTokens. Running total on conv.tokenCount.</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3</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1h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T-11.5</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Cost accumulation</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After every call, add response.usage.costUSD to conv.totalCostUSD.</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3</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0.5h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T-11.6</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conv.serialise() / restore()</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serialise() → plain JSON object (messages, tokenCount, totalCostUSD, model, sessionId, createdAt). Static restore(snapshot) → Conversation instance.</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3</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2h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T-11.7</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conv.toMessages()</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Returns current history as CanonicalMessage[]. For debugging/export.</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3</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0.5h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T-11.8</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conv.clear()</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Resets history (keeps system prompt). Resets tokenCount. Keeps totalCostUSD.</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3</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0.5h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F4E79"/>
                <w:sz w:val="20"/>
                <w:szCs w:val="20"/>
              </w:rPr>
              <w:t xml:space="preserve">T-12</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21"/>
                <w:szCs w:val="21"/>
              </w:rPr>
              <w:t xml:space="preserve">Context Window Management</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20"/>
                <w:szCs w:val="20"/>
              </w:rPr>
              <w:t xml:space="preserve">Automatic context trimming to prevent context limit errors. Pluggable strategies.</w:t>
            </w:r>
          </w:p>
        </w:tc>
        <w:tc>
          <w:tcPr>
            <w:tcW w:type="dxa" w:w="560"/>
            <w:tcBorders>
              <w:top w:val="single" w:color="CCCCCC" w:sz="1"/>
              <w:left w:val="single" w:color="CCCCCC" w:sz="1"/>
              <w:bottom w:val="single" w:color="CCCCCC" w:sz="1"/>
              <w:right w:val="single" w:color="CCCCCC" w:sz="1"/>
            </w:tcBorders>
            <w:shd w:fill="B71C1C" w:val="clear"/>
            <w:tcMar>
              <w:top w:type="dxa" w:w="70"/>
              <w:left w:type="dxa" w:w="80"/>
              <w:bottom w:type="dxa" w:w="70"/>
              <w:right w:type="dxa" w:w="80"/>
            </w:tcMar>
            <w:vAlign w:val="center"/>
          </w:tcPr>
          <w:p>
            <w:pPr>
              <w:jc w:val="center"/>
            </w:pPr>
            <w:r>
              <w:rPr>
                <w:rFonts w:ascii="Arial" w:cs="Arial" w:eastAsia="Arial" w:hAnsi="Arial"/>
                <w:b/>
                <w:bCs/>
                <w:color w:val="FFFFFF"/>
                <w:sz w:val="20"/>
                <w:szCs w:val="20"/>
              </w:rPr>
              <w:t xml:space="preserve">P0</w:t>
            </w:r>
          </w:p>
        </w:tc>
        <w:tc>
          <w:tcPr>
            <w:tcW w:type="dxa" w:w="6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color w:val="1A1A1A"/>
                <w:sz w:val="20"/>
                <w:szCs w:val="20"/>
              </w:rPr>
              <w:t xml:space="preserve">3</w:t>
            </w:r>
          </w:p>
        </w:tc>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color w:val="1A1A1A"/>
                <w:sz w:val="20"/>
                <w:szCs w:val="20"/>
              </w:rPr>
              <w:t xml:space="preserve">1.5d</w:t>
            </w:r>
          </w:p>
        </w:tc>
        <w:tc>
          <w:tcPr>
            <w:tcW w:type="dxa" w:w="14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rFonts w:ascii="Arial" w:cs="Arial" w:eastAsia="Arial" w:hAnsi="Arial"/>
                <w:i/>
                <w:iCs/>
                <w:color w:val="666666"/>
                <w:sz w:val="19"/>
                <w:szCs w:val="19"/>
              </w:rPr>
              <w:t xml:space="preserve">T-11</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T-12.1</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ContextManager interface</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shouldTrim(messages[], tokenCount, limit): boolean. trim(messages[], tokenCount, limit): Promise&lt;CanonicalMessage[]&gt;. Pluggable via constructor.</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3</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1h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T-12.2</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SlidingWindowStrategy</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Remove oldest non-pinned messages until tokenCount &lt; threshold (default 90% of model limit). O(n) pass.</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3</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3h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T-12.3</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Pinned message support</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messages marked pinned:true are never removed. System prompt always pinned by default. Last user message always pinned.</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3</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2h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T-12.4</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Pre-call trim check</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Before every API call, run context check. If tokenCount &gt; threshold, apply strategy. Log trim event.</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3</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1h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T-12.5</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SummarisationStrategy (Phase 4)</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When near limit: call cheap model (Haiku/Flash) to summarise oldest N messages. Replace with summary message. Mark summary with metadata.</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7B3F00"/>
                <w:sz w:val="19"/>
                <w:szCs w:val="19"/>
              </w:rPr>
              <w:t xml:space="preserve">P1</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3</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4h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T-12.6</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Unit tests</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Test: sliding window removes correct messages, pinned messages preserved, trim not triggered below threshold, multiple trim cycles.</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3</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2h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F4E79"/>
                <w:sz w:val="20"/>
                <w:szCs w:val="20"/>
              </w:rPr>
              <w:t xml:space="preserve">T-13</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21"/>
                <w:szCs w:val="21"/>
              </w:rPr>
              <w:t xml:space="preserve">Session Store Interface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20"/>
                <w:szCs w:val="20"/>
              </w:rPr>
              <w:t xml:space="preserve">Pluggable persistence layer for conversation state. Inspired by OpenAI Responses API's server-side state.</w:t>
            </w:r>
          </w:p>
        </w:tc>
        <w:tc>
          <w:tcPr>
            <w:tcW w:type="dxa" w:w="560"/>
            <w:tcBorders>
              <w:top w:val="single" w:color="CCCCCC" w:sz="1"/>
              <w:left w:val="single" w:color="CCCCCC" w:sz="1"/>
              <w:bottom w:val="single" w:color="CCCCCC" w:sz="1"/>
              <w:right w:val="single" w:color="CCCCCC" w:sz="1"/>
            </w:tcBorders>
            <w:shd w:fill="B71C1C" w:val="clear"/>
            <w:tcMar>
              <w:top w:type="dxa" w:w="70"/>
              <w:left w:type="dxa" w:w="80"/>
              <w:bottom w:type="dxa" w:w="70"/>
              <w:right w:type="dxa" w:w="80"/>
            </w:tcMar>
            <w:vAlign w:val="center"/>
          </w:tcPr>
          <w:p>
            <w:pPr>
              <w:jc w:val="center"/>
            </w:pPr>
            <w:r>
              <w:rPr>
                <w:rFonts w:ascii="Arial" w:cs="Arial" w:eastAsia="Arial" w:hAnsi="Arial"/>
                <w:b/>
                <w:bCs/>
                <w:color w:val="FFFFFF"/>
                <w:sz w:val="20"/>
                <w:szCs w:val="20"/>
              </w:rPr>
              <w:t xml:space="preserve">P0</w:t>
            </w:r>
          </w:p>
        </w:tc>
        <w:tc>
          <w:tcPr>
            <w:tcW w:type="dxa" w:w="6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color w:val="1A1A1A"/>
                <w:sz w:val="20"/>
                <w:szCs w:val="20"/>
              </w:rPr>
              <w:t xml:space="preserve">3</w:t>
            </w:r>
          </w:p>
        </w:tc>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color w:val="1A1A1A"/>
                <w:sz w:val="20"/>
                <w:szCs w:val="20"/>
              </w:rPr>
              <w:t xml:space="preserve">1d</w:t>
            </w:r>
          </w:p>
        </w:tc>
        <w:tc>
          <w:tcPr>
            <w:tcW w:type="dxa" w:w="14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rFonts w:ascii="Arial" w:cs="Arial" w:eastAsia="Arial" w:hAnsi="Arial"/>
                <w:i/>
                <w:iCs/>
                <w:color w:val="666666"/>
                <w:sz w:val="19"/>
                <w:szCs w:val="19"/>
              </w:rPr>
              <w:t xml:space="preserve">T-11</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T-13.1</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SessionStore interface</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get(sessionId): Promise&lt;ConversationSnapshot | null&gt;. set(sessionId, snapshot): Promise&lt;void&gt;. delete(sessionId): Promise&lt;void&gt;. list(tenantId): Promise&lt;SessionMeta[]&gt;.</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3</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1h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T-13.2</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InMemorySessionStore</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Map&lt;string, ConversationSnapshot&gt;. Default store. Useful for testing and single-process deployments.</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3</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1h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T-13.3</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PostgresSessionStore</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Uses pg or postgres.js. Stores snapshot as JSONB. Tenant-scoped with RLS. Indexed on (tenant_id, session_id, updated_at).</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3</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3h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T-13.4</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RedisSessionStore</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Uses ioredis. Stores snapshot as JSON string. TTL-based expiry. Useful for high-throughput deployments.</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3</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3h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T-13.5</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Session metadata</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SessionMeta: sessionId, tenantId, messageCount, tokenCount, totalCostUSD, model, createdAt, updatedAt.</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3</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1h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T-13.6</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Auto-save on send()</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After every conv.send() call, if a SessionStore is configured, auto-call store.set(sessionId, conv.serialise()).</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3</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1h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148C" w:val="clear"/>
            <w:tcMar>
              <w:top w:type="dxa" w:w="120"/>
              <w:left w:type="dxa" w:w="200"/>
              <w:bottom w:type="dxa" w:w="120"/>
              <w:right w:type="dxa" w:w="200"/>
            </w:tcMar>
          </w:tcPr>
          <w:p>
            <w:r>
              <w:rPr>
                <w:rFonts w:ascii="Arial" w:cs="Arial" w:eastAsia="Arial" w:hAnsi="Arial"/>
                <w:b/>
                <w:bCs/>
                <w:color w:val="FFFFFF"/>
                <w:sz w:val="30"/>
                <w:szCs w:val="30"/>
              </w:rPr>
              <w:t xml:space="preserve">Phase 4 — Tools, Streaming &amp; Model Router</w:t>
            </w:r>
          </w:p>
        </w:tc>
      </w:tr>
    </w:tbl>
    <w:p>
      <w:pPr>
        <w:spacing w:after="0" w:before="60"/>
      </w:pPr>
      <w:r>
        <w:t xml:space="preserve"/>
      </w:r>
    </w:p>
    <w:p>
      <w:pPr>
        <w:pStyle w:val="Heading1"/>
        <w:pBdr>
          <w:bottom w:val="single" w:color="2E75B6" w:sz="8" w:space="4"/>
        </w:pBdr>
        <w:spacing w:after="120" w:before="360"/>
      </w:pPr>
      <w:r>
        <w:rPr>
          <w:rFonts w:ascii="Arial" w:cs="Arial" w:eastAsia="Arial" w:hAnsi="Arial"/>
          <w:b/>
          <w:bCs/>
          <w:color w:val="1F4E79"/>
          <w:sz w:val="36"/>
          <w:szCs w:val="36"/>
        </w:rPr>
        <w:t xml:space="preserve">Phase 4 — Tool System, Streaming &amp; Model Router</w:t>
      </w:r>
    </w:p>
    <w:p>
      <w:pPr>
        <w:spacing w:after="70" w:before="70"/>
      </w:pPr>
      <w:r>
        <w:rPr>
          <w:rFonts w:ascii="Arial" w:cs="Arial" w:eastAsia="Arial" w:hAnsi="Arial"/>
          <w:color w:val="1A1A1A"/>
          <w:sz w:val="22"/>
          <w:szCs w:val="22"/>
        </w:rPr>
        <w:t xml:space="preserve">The three subsystems that make the library production-grade: a unified tool calling abstraction that works across all providers, a consistent streaming interface with canonical chunk types, and a rule-based model router for cost/latency optimisation.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3000"/>
        <w:gridCol w:w="560"/>
        <w:gridCol w:w="600"/>
        <w:gridCol w:w="700"/>
        <w:gridCol w:w="140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rFonts w:ascii="Arial" w:cs="Arial" w:eastAsia="Arial" w:hAnsi="Arial"/>
                <w:b/>
                <w:bCs/>
                <w:color w:val="FFFFFF"/>
                <w:sz w:val="20"/>
                <w:szCs w:val="20"/>
              </w:rPr>
              <w:t xml:space="preserve">ID</w:t>
            </w:r>
          </w:p>
        </w:tc>
        <w:tc>
          <w:tcPr>
            <w:tcW w:type="dxa" w:w="2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Task / Subtask</w:t>
            </w:r>
          </w:p>
        </w:tc>
        <w:tc>
          <w:tcPr>
            <w:tcW w:type="dxa" w:w="3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Description &amp; Acceptance Criteria</w:t>
            </w:r>
          </w:p>
        </w:tc>
        <w:tc>
          <w:tcPr>
            <w:tcW w:type="dxa" w:w="56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rFonts w:ascii="Arial" w:cs="Arial" w:eastAsia="Arial" w:hAnsi="Arial"/>
                <w:b/>
                <w:bCs/>
                <w:color w:val="FFFFFF"/>
                <w:sz w:val="20"/>
                <w:szCs w:val="20"/>
              </w:rPr>
              <w:t xml:space="preserve">Pri</w:t>
            </w:r>
          </w:p>
        </w:tc>
        <w:tc>
          <w:tcPr>
            <w:tcW w:type="dxa" w:w="6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rFonts w:ascii="Arial" w:cs="Arial" w:eastAsia="Arial" w:hAnsi="Arial"/>
                <w:b/>
                <w:bCs/>
                <w:color w:val="FFFFFF"/>
                <w:sz w:val="20"/>
                <w:szCs w:val="20"/>
              </w:rPr>
              <w:t xml:space="preserve">Phase</w:t>
            </w:r>
          </w:p>
        </w:tc>
        <w:tc>
          <w:tcPr>
            <w:tcW w:type="dxa" w:w="7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rFonts w:ascii="Arial" w:cs="Arial" w:eastAsia="Arial" w:hAnsi="Arial"/>
                <w:b/>
                <w:bCs/>
                <w:color w:val="FFFFFF"/>
                <w:sz w:val="20"/>
                <w:szCs w:val="20"/>
              </w:rPr>
              <w:t xml:space="preserve">Effort</w:t>
            </w:r>
          </w:p>
        </w:tc>
        <w:tc>
          <w:tcPr>
            <w:tcW w:type="dxa" w:w="14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20"/>
                <w:szCs w:val="20"/>
              </w:rPr>
              <w:t xml:space="preserve">Dependencies</w:t>
            </w:r>
          </w:p>
        </w:tc>
      </w:tr>
      <w:tr>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F4E79"/>
                <w:sz w:val="20"/>
                <w:szCs w:val="20"/>
              </w:rPr>
              <w:t xml:space="preserve">T-14</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21"/>
                <w:szCs w:val="21"/>
              </w:rPr>
              <w:t xml:space="preserve">Unified Tool System</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20"/>
                <w:szCs w:val="20"/>
              </w:rPr>
              <w:t xml:space="preserve">defineTool() API. Single tool definition works across all three providers. Auto-execute loop.</w:t>
            </w:r>
          </w:p>
        </w:tc>
        <w:tc>
          <w:tcPr>
            <w:tcW w:type="dxa" w:w="560"/>
            <w:tcBorders>
              <w:top w:val="single" w:color="CCCCCC" w:sz="1"/>
              <w:left w:val="single" w:color="CCCCCC" w:sz="1"/>
              <w:bottom w:val="single" w:color="CCCCCC" w:sz="1"/>
              <w:right w:val="single" w:color="CCCCCC" w:sz="1"/>
            </w:tcBorders>
            <w:shd w:fill="B71C1C" w:val="clear"/>
            <w:tcMar>
              <w:top w:type="dxa" w:w="70"/>
              <w:left w:type="dxa" w:w="80"/>
              <w:bottom w:type="dxa" w:w="70"/>
              <w:right w:type="dxa" w:w="80"/>
            </w:tcMar>
            <w:vAlign w:val="center"/>
          </w:tcPr>
          <w:p>
            <w:pPr>
              <w:jc w:val="center"/>
            </w:pPr>
            <w:r>
              <w:rPr>
                <w:rFonts w:ascii="Arial" w:cs="Arial" w:eastAsia="Arial" w:hAnsi="Arial"/>
                <w:b/>
                <w:bCs/>
                <w:color w:val="FFFFFF"/>
                <w:sz w:val="20"/>
                <w:szCs w:val="20"/>
              </w:rPr>
              <w:t xml:space="preserve">P0</w:t>
            </w:r>
          </w:p>
        </w:tc>
        <w:tc>
          <w:tcPr>
            <w:tcW w:type="dxa" w:w="6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color w:val="1A1A1A"/>
                <w:sz w:val="20"/>
                <w:szCs w:val="20"/>
              </w:rPr>
              <w:t xml:space="preserve">4</w:t>
            </w:r>
          </w:p>
        </w:tc>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color w:val="1A1A1A"/>
                <w:sz w:val="20"/>
                <w:szCs w:val="20"/>
              </w:rPr>
              <w:t xml:space="preserve">2d</w:t>
            </w:r>
          </w:p>
        </w:tc>
        <w:tc>
          <w:tcPr>
            <w:tcW w:type="dxa" w:w="14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rFonts w:ascii="Arial" w:cs="Arial" w:eastAsia="Arial" w:hAnsi="Arial"/>
                <w:i/>
                <w:iCs/>
                <w:color w:val="666666"/>
                <w:sz w:val="19"/>
                <w:szCs w:val="19"/>
              </w:rPr>
              <w:t xml:space="preserve">T-08,T-09,T-10</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T-14.1</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defineTool() function</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Takes name, description, parameters (JSON Schema), execute() optional. Returns typed CanonicalTool. Full TypeScript inference for args type from parameters schema.</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4</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3h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T-14.2</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Canonical → Anthropic translation</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CanonicalTool → {name, description, input_schema}. ToolChoice mapping (auto/any/none/specific).</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4</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1h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T-14.3</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Canonical → OpenAI translation</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CanonicalTool → {type:'function', function:{name,description,parameters}}. tool_choice mapping.</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4</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1h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T-14.4</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Canonical → Gemini translation</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CanonicalTool[] → {functionDeclarations:[...]} with UPPERCASE types. toolConfig from ToolChoice.</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4</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1.5h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T-14.5</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Tool result normalisation</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canonical tool_result → Anthropic user+tool_result | OpenAI role:tool | Gemini user+functionResponse. Handles all three formats.</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4</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2h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T-14.6</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Auto-execute loop</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When executeTools:true: detect tool calls, run execute() (with timeout 30s), format results, append to messages, call API again. Loop until stop or maxToolRounds.</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4</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4h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T-14.7</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Parallel tool execution</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When model returns multiple tool calls simultaneously, run all execute() calls via Promise.all(), not sequentially.</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4</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2h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T-14.8</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MaxToolRounds guard</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After N rounds (default 5), throw MaxToolRoundsError with last response. Prevents infinite agentic loops.</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4</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1h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T-14.9</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Tool error handling</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If execute() throws, catch error, return {success:false, error:message} as tool result. Model can react gracefully.</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4</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1h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F4E79"/>
                <w:sz w:val="20"/>
                <w:szCs w:val="20"/>
              </w:rPr>
              <w:t xml:space="preserve">T-15</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21"/>
                <w:szCs w:val="21"/>
              </w:rPr>
              <w:t xml:space="preserve">Streaming System</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20"/>
                <w:szCs w:val="20"/>
              </w:rPr>
              <w:t xml:space="preserve">Unified AsyncIterable&lt;StreamChunk&gt; interface across all providers. Consistent event types.</w:t>
            </w:r>
          </w:p>
        </w:tc>
        <w:tc>
          <w:tcPr>
            <w:tcW w:type="dxa" w:w="560"/>
            <w:tcBorders>
              <w:top w:val="single" w:color="CCCCCC" w:sz="1"/>
              <w:left w:val="single" w:color="CCCCCC" w:sz="1"/>
              <w:bottom w:val="single" w:color="CCCCCC" w:sz="1"/>
              <w:right w:val="single" w:color="CCCCCC" w:sz="1"/>
            </w:tcBorders>
            <w:shd w:fill="B71C1C" w:val="clear"/>
            <w:tcMar>
              <w:top w:type="dxa" w:w="70"/>
              <w:left w:type="dxa" w:w="80"/>
              <w:bottom w:type="dxa" w:w="70"/>
              <w:right w:type="dxa" w:w="80"/>
            </w:tcMar>
            <w:vAlign w:val="center"/>
          </w:tcPr>
          <w:p>
            <w:pPr>
              <w:jc w:val="center"/>
            </w:pPr>
            <w:r>
              <w:rPr>
                <w:rFonts w:ascii="Arial" w:cs="Arial" w:eastAsia="Arial" w:hAnsi="Arial"/>
                <w:b/>
                <w:bCs/>
                <w:color w:val="FFFFFF"/>
                <w:sz w:val="20"/>
                <w:szCs w:val="20"/>
              </w:rPr>
              <w:t xml:space="preserve">P0</w:t>
            </w:r>
          </w:p>
        </w:tc>
        <w:tc>
          <w:tcPr>
            <w:tcW w:type="dxa" w:w="6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color w:val="1A1A1A"/>
                <w:sz w:val="20"/>
                <w:szCs w:val="20"/>
              </w:rPr>
              <w:t xml:space="preserve">4</w:t>
            </w:r>
          </w:p>
        </w:tc>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color w:val="1A1A1A"/>
                <w:sz w:val="20"/>
                <w:szCs w:val="20"/>
              </w:rPr>
              <w:t xml:space="preserve">1.5d</w:t>
            </w:r>
          </w:p>
        </w:tc>
        <w:tc>
          <w:tcPr>
            <w:tcW w:type="dxa" w:w="14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rFonts w:ascii="Arial" w:cs="Arial" w:eastAsia="Arial" w:hAnsi="Arial"/>
                <w:i/>
                <w:iCs/>
                <w:color w:val="666666"/>
                <w:sz w:val="19"/>
                <w:szCs w:val="19"/>
              </w:rPr>
              <w:t xml:space="preserve">T-08,T-09,T-10</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T-15.1</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StreamChunk discriminated union</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text-delta{delta}, tool-call-start{id,name}, tool-call-delta{id,argsDelta}, tool-call-result{id,name,result}, done{usage,finishReason}, error{error}.</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4</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1h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T-15.2</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Anthropic stream assembler</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Stateful class: converts Anthropic SSE events → canonical StreamChunks. Buffers input_json_delta, emits tool-call-start on content_block_start, done on message_stop.</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4</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3h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T-15.3</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OpenAI stream assembler</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Stateful class: converts OpenAI chunks → canonical StreamChunks. Accumulates arguments by tool_calls[].index, emits tool events when finish_reason:tool_calls.</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4</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3h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T-15.4</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Gemini stream assembler</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Stateful class: converts Gemini chunks (complete response objects) → canonical StreamChunks. Concatenate text. Function calls arrive complete in one chunk.</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4</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3h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T-15.5</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AbortController support</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llm.stream() accepts an AbortSignal. Passed to fetch() options. Cancels the underlying HTTP request immediately.</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4</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1h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T-15.6</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Stream + tools integration</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When tools present and model makes a tool call mid-stream: pause stream, execute tool, inject result, resume with new API call. Emit tool-call-* events during.</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4</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4h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F4E79"/>
                <w:sz w:val="20"/>
                <w:szCs w:val="20"/>
              </w:rPr>
              <w:t xml:space="preserve">T-16</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21"/>
                <w:szCs w:val="21"/>
              </w:rPr>
              <w:t xml:space="preserve">Model Router</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20"/>
                <w:szCs w:val="20"/>
              </w:rPr>
              <w:t xml:space="preserve">Rule-based model selection. Fallback on provider failure. A/B testing.</w:t>
            </w:r>
          </w:p>
        </w:tc>
        <w:tc>
          <w:tcPr>
            <w:tcW w:type="dxa" w:w="560"/>
            <w:tcBorders>
              <w:top w:val="single" w:color="CCCCCC" w:sz="1"/>
              <w:left w:val="single" w:color="CCCCCC" w:sz="1"/>
              <w:bottom w:val="single" w:color="CCCCCC" w:sz="1"/>
              <w:right w:val="single" w:color="CCCCCC" w:sz="1"/>
            </w:tcBorders>
            <w:shd w:fill="B71C1C" w:val="clear"/>
            <w:tcMar>
              <w:top w:type="dxa" w:w="70"/>
              <w:left w:type="dxa" w:w="80"/>
              <w:bottom w:type="dxa" w:w="70"/>
              <w:right w:type="dxa" w:w="80"/>
            </w:tcMar>
            <w:vAlign w:val="center"/>
          </w:tcPr>
          <w:p>
            <w:pPr>
              <w:jc w:val="center"/>
            </w:pPr>
            <w:r>
              <w:rPr>
                <w:rFonts w:ascii="Arial" w:cs="Arial" w:eastAsia="Arial" w:hAnsi="Arial"/>
                <w:b/>
                <w:bCs/>
                <w:color w:val="FFFFFF"/>
                <w:sz w:val="20"/>
                <w:szCs w:val="20"/>
              </w:rPr>
              <w:t xml:space="preserve">P0</w:t>
            </w:r>
          </w:p>
        </w:tc>
        <w:tc>
          <w:tcPr>
            <w:tcW w:type="dxa" w:w="6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color w:val="1A1A1A"/>
                <w:sz w:val="20"/>
                <w:szCs w:val="20"/>
              </w:rPr>
              <w:t xml:space="preserve">4</w:t>
            </w:r>
          </w:p>
        </w:tc>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color w:val="1A1A1A"/>
                <w:sz w:val="20"/>
                <w:szCs w:val="20"/>
              </w:rPr>
              <w:t xml:space="preserve">1d</w:t>
            </w:r>
          </w:p>
        </w:tc>
        <w:tc>
          <w:tcPr>
            <w:tcW w:type="dxa" w:w="14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rFonts w:ascii="Arial" w:cs="Arial" w:eastAsia="Arial" w:hAnsi="Arial"/>
                <w:i/>
                <w:iCs/>
                <w:color w:val="666666"/>
                <w:sz w:val="19"/>
                <w:szCs w:val="19"/>
              </w:rPr>
              <w:t xml:space="preserve">T-08,T-09,T-10</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T-16.1</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ModelRouter class</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Constructor takes rules[] and fallback. Each rule: when(context):boolean, use:string. Evaluated in order, first match wins.</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4</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2h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T-16.2</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Routing context</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RouterContext: messages[], tenantId?, botId?, botConfig?, sessionTokenCount, estimatedInputTokens.</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4</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1h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T-16.3</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Fallback on provider error</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If primary model throws ProviderError or RateLimitError after maxAttempts, automatically retry with fallback model.</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4</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2h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T-16.4</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A/B weight routing</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Rule can have weight:0.8 — route 80% of matching traffic to primary, 20% to secondary. Uses seeded random for consistency.</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4</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2h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T-16.5</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Router logging</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Log which rule matched (or fallback used) in UsageEvent.routingDecision field. Useful for analytics.</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4</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1h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3F00" w:val="clear"/>
            <w:tcMar>
              <w:top w:type="dxa" w:w="120"/>
              <w:left w:type="dxa" w:w="200"/>
              <w:bottom w:type="dxa" w:w="120"/>
              <w:right w:type="dxa" w:w="200"/>
            </w:tcMar>
          </w:tcPr>
          <w:p>
            <w:r>
              <w:rPr>
                <w:rFonts w:ascii="Arial" w:cs="Arial" w:eastAsia="Arial" w:hAnsi="Arial"/>
                <w:b/>
                <w:bCs/>
                <w:color w:val="FFFFFF"/>
                <w:sz w:val="30"/>
                <w:szCs w:val="30"/>
              </w:rPr>
              <w:t xml:space="preserve">Phase 5 — LLMClient Public API &amp; Cost Tracking</w:t>
            </w:r>
          </w:p>
        </w:tc>
      </w:tr>
    </w:tbl>
    <w:p>
      <w:pPr>
        <w:spacing w:after="0" w:before="60"/>
      </w:pPr>
      <w:r>
        <w:t xml:space="preserve"/>
      </w:r>
    </w:p>
    <w:p>
      <w:pPr>
        <w:pStyle w:val="Heading1"/>
        <w:pBdr>
          <w:bottom w:val="single" w:color="2E75B6" w:sz="8" w:space="4"/>
        </w:pBdr>
        <w:spacing w:after="120" w:before="360"/>
      </w:pPr>
      <w:r>
        <w:rPr>
          <w:rFonts w:ascii="Arial" w:cs="Arial" w:eastAsia="Arial" w:hAnsi="Arial"/>
          <w:b/>
          <w:bCs/>
          <w:color w:val="1F4E79"/>
          <w:sz w:val="36"/>
          <w:szCs w:val="36"/>
        </w:rPr>
        <w:t xml:space="preserve">Phase 5 — LLMClient Public API &amp; Cost Tracking</w:t>
      </w:r>
    </w:p>
    <w:p>
      <w:pPr>
        <w:spacing w:after="70" w:before="70"/>
      </w:pPr>
      <w:r>
        <w:rPr>
          <w:rFonts w:ascii="Arial" w:cs="Arial" w:eastAsia="Arial" w:hAnsi="Arial"/>
          <w:color w:val="1A1A1A"/>
          <w:sz w:val="22"/>
          <w:szCs w:val="22"/>
        </w:rPr>
        <w:t xml:space="preserve">The public interface that consumers actually import. Ties all components together. Also where the billing-grade cost tracking and the pluggable UsageLogger live.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3000"/>
        <w:gridCol w:w="560"/>
        <w:gridCol w:w="600"/>
        <w:gridCol w:w="700"/>
        <w:gridCol w:w="140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rFonts w:ascii="Arial" w:cs="Arial" w:eastAsia="Arial" w:hAnsi="Arial"/>
                <w:b/>
                <w:bCs/>
                <w:color w:val="FFFFFF"/>
                <w:sz w:val="20"/>
                <w:szCs w:val="20"/>
              </w:rPr>
              <w:t xml:space="preserve">ID</w:t>
            </w:r>
          </w:p>
        </w:tc>
        <w:tc>
          <w:tcPr>
            <w:tcW w:type="dxa" w:w="2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Task / Subtask</w:t>
            </w:r>
          </w:p>
        </w:tc>
        <w:tc>
          <w:tcPr>
            <w:tcW w:type="dxa" w:w="3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Description &amp; Acceptance Criteria</w:t>
            </w:r>
          </w:p>
        </w:tc>
        <w:tc>
          <w:tcPr>
            <w:tcW w:type="dxa" w:w="56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rFonts w:ascii="Arial" w:cs="Arial" w:eastAsia="Arial" w:hAnsi="Arial"/>
                <w:b/>
                <w:bCs/>
                <w:color w:val="FFFFFF"/>
                <w:sz w:val="20"/>
                <w:szCs w:val="20"/>
              </w:rPr>
              <w:t xml:space="preserve">Pri</w:t>
            </w:r>
          </w:p>
        </w:tc>
        <w:tc>
          <w:tcPr>
            <w:tcW w:type="dxa" w:w="6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rFonts w:ascii="Arial" w:cs="Arial" w:eastAsia="Arial" w:hAnsi="Arial"/>
                <w:b/>
                <w:bCs/>
                <w:color w:val="FFFFFF"/>
                <w:sz w:val="20"/>
                <w:szCs w:val="20"/>
              </w:rPr>
              <w:t xml:space="preserve">Phase</w:t>
            </w:r>
          </w:p>
        </w:tc>
        <w:tc>
          <w:tcPr>
            <w:tcW w:type="dxa" w:w="7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rFonts w:ascii="Arial" w:cs="Arial" w:eastAsia="Arial" w:hAnsi="Arial"/>
                <w:b/>
                <w:bCs/>
                <w:color w:val="FFFFFF"/>
                <w:sz w:val="20"/>
                <w:szCs w:val="20"/>
              </w:rPr>
              <w:t xml:space="preserve">Effort</w:t>
            </w:r>
          </w:p>
        </w:tc>
        <w:tc>
          <w:tcPr>
            <w:tcW w:type="dxa" w:w="14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20"/>
                <w:szCs w:val="20"/>
              </w:rPr>
              <w:t xml:space="preserve">Dependencies</w:t>
            </w:r>
          </w:p>
        </w:tc>
      </w:tr>
      <w:tr>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F4E79"/>
                <w:sz w:val="20"/>
                <w:szCs w:val="20"/>
              </w:rPr>
              <w:t xml:space="preserve">T-17</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21"/>
                <w:szCs w:val="21"/>
              </w:rPr>
              <w:t xml:space="preserve">Cost Tracking &amp; Usage Logger</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20"/>
                <w:szCs w:val="20"/>
              </w:rPr>
              <w:t xml:space="preserve">Per-call + per-session + per-tenant cost tracking. Pluggable logger interface.</w:t>
            </w:r>
          </w:p>
        </w:tc>
        <w:tc>
          <w:tcPr>
            <w:tcW w:type="dxa" w:w="560"/>
            <w:tcBorders>
              <w:top w:val="single" w:color="CCCCCC" w:sz="1"/>
              <w:left w:val="single" w:color="CCCCCC" w:sz="1"/>
              <w:bottom w:val="single" w:color="CCCCCC" w:sz="1"/>
              <w:right w:val="single" w:color="CCCCCC" w:sz="1"/>
            </w:tcBorders>
            <w:shd w:fill="B71C1C" w:val="clear"/>
            <w:tcMar>
              <w:top w:type="dxa" w:w="70"/>
              <w:left w:type="dxa" w:w="80"/>
              <w:bottom w:type="dxa" w:w="70"/>
              <w:right w:type="dxa" w:w="80"/>
            </w:tcMar>
            <w:vAlign w:val="center"/>
          </w:tcPr>
          <w:p>
            <w:pPr>
              <w:jc w:val="center"/>
            </w:pPr>
            <w:r>
              <w:rPr>
                <w:rFonts w:ascii="Arial" w:cs="Arial" w:eastAsia="Arial" w:hAnsi="Arial"/>
                <w:b/>
                <w:bCs/>
                <w:color w:val="FFFFFF"/>
                <w:sz w:val="20"/>
                <w:szCs w:val="20"/>
              </w:rPr>
              <w:t xml:space="preserve">P0</w:t>
            </w:r>
          </w:p>
        </w:tc>
        <w:tc>
          <w:tcPr>
            <w:tcW w:type="dxa" w:w="6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color w:val="1A1A1A"/>
                <w:sz w:val="20"/>
                <w:szCs w:val="20"/>
              </w:rPr>
              <w:t xml:space="preserve">5</w:t>
            </w:r>
          </w:p>
        </w:tc>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color w:val="1A1A1A"/>
                <w:sz w:val="20"/>
                <w:szCs w:val="20"/>
              </w:rPr>
              <w:t xml:space="preserve">1.5d</w:t>
            </w:r>
          </w:p>
        </w:tc>
        <w:tc>
          <w:tcPr>
            <w:tcW w:type="dxa" w:w="14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rFonts w:ascii="Arial" w:cs="Arial" w:eastAsia="Arial" w:hAnsi="Arial"/>
                <w:i/>
                <w:iCs/>
                <w:color w:val="666666"/>
                <w:sz w:val="19"/>
                <w:szCs w:val="19"/>
              </w:rPr>
              <w:t xml:space="preserve">T-06,T-11</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T-17.1</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UsageLogger interface</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 log(event: UsageEvent): Promise&lt;void&gt; }. Errors in logger never propagate — caught and emitted as 'logger-error' event on client.</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5</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1h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T-17.2</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ConsoleLogger</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Default logger. Pretty-prints UsageEvent to console in development. Omits in production (NODE_ENV check).</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5</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0.5h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T-17.3</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PostgresUsageLogger</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Writes UsageEvent to usage_events table. Matches the parent platform schema. Batches writes (flush every 100ms or 10 events).</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5</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3h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T-17.4</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Budget guard — per call</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budget.maxCostUSD checked against estimated cost (inputTokens estimate × price) before API call. Throws BudgetExceededError if over.</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5</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2h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T-17.5</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Budget guard — per session</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budget.maxSessionCostUSD checked on conv.totalCostUSD after each turn. Throws BudgetExceededError. Configurable action: throw | warn | skip.</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5</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2h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T-17.6</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client.getUsage() query API</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getUsage({tenantId, from, to, groupBy}) returns aggregated UsageStats if PostgresUsageLogger configured. Groups by model, day, tenant.</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5</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3h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F4E79"/>
                <w:sz w:val="20"/>
                <w:szCs w:val="20"/>
              </w:rPr>
              <w:t xml:space="preserve">T-18</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21"/>
                <w:szCs w:val="21"/>
              </w:rPr>
              <w:t xml:space="preserve">LLMClient — Public API Surface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20"/>
                <w:szCs w:val="20"/>
              </w:rPr>
              <w:t xml:space="preserve">Main entry point. Orchestrates all components. The public-facing class consumers import.</w:t>
            </w:r>
          </w:p>
        </w:tc>
        <w:tc>
          <w:tcPr>
            <w:tcW w:type="dxa" w:w="560"/>
            <w:tcBorders>
              <w:top w:val="single" w:color="CCCCCC" w:sz="1"/>
              <w:left w:val="single" w:color="CCCCCC" w:sz="1"/>
              <w:bottom w:val="single" w:color="CCCCCC" w:sz="1"/>
              <w:right w:val="single" w:color="CCCCCC" w:sz="1"/>
            </w:tcBorders>
            <w:shd w:fill="B71C1C" w:val="clear"/>
            <w:tcMar>
              <w:top w:type="dxa" w:w="70"/>
              <w:left w:type="dxa" w:w="80"/>
              <w:bottom w:type="dxa" w:w="70"/>
              <w:right w:type="dxa" w:w="80"/>
            </w:tcMar>
            <w:vAlign w:val="center"/>
          </w:tcPr>
          <w:p>
            <w:pPr>
              <w:jc w:val="center"/>
            </w:pPr>
            <w:r>
              <w:rPr>
                <w:rFonts w:ascii="Arial" w:cs="Arial" w:eastAsia="Arial" w:hAnsi="Arial"/>
                <w:b/>
                <w:bCs/>
                <w:color w:val="FFFFFF"/>
                <w:sz w:val="20"/>
                <w:szCs w:val="20"/>
              </w:rPr>
              <w:t xml:space="preserve">P0</w:t>
            </w:r>
          </w:p>
        </w:tc>
        <w:tc>
          <w:tcPr>
            <w:tcW w:type="dxa" w:w="6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color w:val="1A1A1A"/>
                <w:sz w:val="20"/>
                <w:szCs w:val="20"/>
              </w:rPr>
              <w:t xml:space="preserve">5</w:t>
            </w:r>
          </w:p>
        </w:tc>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color w:val="1A1A1A"/>
                <w:sz w:val="20"/>
                <w:szCs w:val="20"/>
              </w:rPr>
              <w:t xml:space="preserve">1d</w:t>
            </w:r>
          </w:p>
        </w:tc>
        <w:tc>
          <w:tcPr>
            <w:tcW w:type="dxa" w:w="14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rFonts w:ascii="Arial" w:cs="Arial" w:eastAsia="Arial" w:hAnsi="Arial"/>
                <w:i/>
                <w:iCs/>
                <w:color w:val="666666"/>
                <w:sz w:val="19"/>
                <w:szCs w:val="19"/>
              </w:rPr>
              <w:t xml:space="preserve">T-08,T-09,T-10,T-14,T-15,T-16,T-17</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T-18.1</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LLMClient constructor</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Options: defaultModel, defaultProvider, tenantId, router, sessionStore, usageLogger, retryConfig, budget. Validates all options at init.</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5</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2h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T-18.2</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llm.complete(options)</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Non-streaming call. Resolves routing, builds request, calls adapter, runs tool loop if tools present, returns CanonicalResponse.</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5</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2h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T-18.3</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llm.stream(options)</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Streaming call. Returns AsyncIterable&lt;StreamChunk&gt;. Tools mid-stream handled.</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5</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2h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T-18.4</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llm.conversation(options)</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Returns a new Conversation instance. Wires up sessionStore, usageLogger, budget from client config. Auto-loads snapshot from store if sessionId + store configured.</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5</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2h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T-18.5</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llm.models registry proxy</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llm.models.list(), llm.models.get(), llm.models.register() — delegate to ModelRegistry.</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5</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0.5h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T-18.6</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Mock provider for testing</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LLMClient.mock({responses: [...]}) — returns a client whose adapter returns configured CanonicalResponses without HTTP calls. Configurable delays.</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5</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2h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71C1C" w:val="clear"/>
            <w:tcMar>
              <w:top w:type="dxa" w:w="120"/>
              <w:left w:type="dxa" w:w="200"/>
              <w:bottom w:type="dxa" w:w="120"/>
              <w:right w:type="dxa" w:w="200"/>
            </w:tcMar>
          </w:tcPr>
          <w:p>
            <w:r>
              <w:rPr>
                <w:rFonts w:ascii="Arial" w:cs="Arial" w:eastAsia="Arial" w:hAnsi="Arial"/>
                <w:b/>
                <w:bCs/>
                <w:color w:val="FFFFFF"/>
                <w:sz w:val="30"/>
                <w:szCs w:val="30"/>
              </w:rPr>
              <w:t xml:space="preserve">Phase 6 — Session API (Responses API Equivalent)</w:t>
            </w:r>
          </w:p>
        </w:tc>
      </w:tr>
    </w:tbl>
    <w:p>
      <w:pPr>
        <w:spacing w:after="0" w:before="60"/>
      </w:pPr>
      <w:r>
        <w:t xml:space="preserve"/>
      </w:r>
    </w:p>
    <w:p>
      <w:pPr>
        <w:pStyle w:val="Heading1"/>
        <w:pBdr>
          <w:bottom w:val="single" w:color="2E75B6" w:sz="8" w:space="4"/>
        </w:pBdr>
        <w:spacing w:after="120" w:before="360"/>
      </w:pPr>
      <w:r>
        <w:rPr>
          <w:rFonts w:ascii="Arial" w:cs="Arial" w:eastAsia="Arial" w:hAnsi="Arial"/>
          <w:b/>
          <w:bCs/>
          <w:color w:val="1F4E79"/>
          <w:sz w:val="36"/>
          <w:szCs w:val="36"/>
        </w:rPr>
        <w:t xml:space="preserve">Phase 6 — Session API</w:t>
      </w:r>
    </w:p>
    <w:p>
      <w:pPr>
        <w:spacing w:after="70" w:before="70"/>
      </w:pPr>
      <w:r>
        <w:rPr>
          <w:rFonts w:ascii="Arial" w:cs="Arial" w:eastAsia="Arial" w:hAnsi="Arial"/>
          <w:color w:val="1A1A1A"/>
          <w:sz w:val="22"/>
          <w:szCs w:val="22"/>
        </w:rPr>
        <w:t xml:space="preserve">HTTP endpoints that expose conversation state management as a service. This is our equivalent of OpenAI's Responses API — but provider-agnostic and backed by our own Postgres/Redis store. Any client can use sessionId instead of managing conversation history manually.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3000"/>
        <w:gridCol w:w="560"/>
        <w:gridCol w:w="600"/>
        <w:gridCol w:w="700"/>
        <w:gridCol w:w="140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rFonts w:ascii="Arial" w:cs="Arial" w:eastAsia="Arial" w:hAnsi="Arial"/>
                <w:b/>
                <w:bCs/>
                <w:color w:val="FFFFFF"/>
                <w:sz w:val="20"/>
                <w:szCs w:val="20"/>
              </w:rPr>
              <w:t xml:space="preserve">ID</w:t>
            </w:r>
          </w:p>
        </w:tc>
        <w:tc>
          <w:tcPr>
            <w:tcW w:type="dxa" w:w="2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Task / Subtask</w:t>
            </w:r>
          </w:p>
        </w:tc>
        <w:tc>
          <w:tcPr>
            <w:tcW w:type="dxa" w:w="3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Description &amp; Acceptance Criteria</w:t>
            </w:r>
          </w:p>
        </w:tc>
        <w:tc>
          <w:tcPr>
            <w:tcW w:type="dxa" w:w="56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rFonts w:ascii="Arial" w:cs="Arial" w:eastAsia="Arial" w:hAnsi="Arial"/>
                <w:b/>
                <w:bCs/>
                <w:color w:val="FFFFFF"/>
                <w:sz w:val="20"/>
                <w:szCs w:val="20"/>
              </w:rPr>
              <w:t xml:space="preserve">Pri</w:t>
            </w:r>
          </w:p>
        </w:tc>
        <w:tc>
          <w:tcPr>
            <w:tcW w:type="dxa" w:w="6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rFonts w:ascii="Arial" w:cs="Arial" w:eastAsia="Arial" w:hAnsi="Arial"/>
                <w:b/>
                <w:bCs/>
                <w:color w:val="FFFFFF"/>
                <w:sz w:val="20"/>
                <w:szCs w:val="20"/>
              </w:rPr>
              <w:t xml:space="preserve">Phase</w:t>
            </w:r>
          </w:p>
        </w:tc>
        <w:tc>
          <w:tcPr>
            <w:tcW w:type="dxa" w:w="7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rFonts w:ascii="Arial" w:cs="Arial" w:eastAsia="Arial" w:hAnsi="Arial"/>
                <w:b/>
                <w:bCs/>
                <w:color w:val="FFFFFF"/>
                <w:sz w:val="20"/>
                <w:szCs w:val="20"/>
              </w:rPr>
              <w:t xml:space="preserve">Effort</w:t>
            </w:r>
          </w:p>
        </w:tc>
        <w:tc>
          <w:tcPr>
            <w:tcW w:type="dxa" w:w="14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20"/>
                <w:szCs w:val="20"/>
              </w:rPr>
              <w:t xml:space="preserve">Dependencies</w:t>
            </w:r>
          </w:p>
        </w:tc>
      </w:tr>
      <w:tr>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F4E79"/>
                <w:sz w:val="20"/>
                <w:szCs w:val="20"/>
              </w:rPr>
              <w:t xml:space="preserve">T-19</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21"/>
                <w:szCs w:val="21"/>
              </w:rPr>
              <w:t xml:space="preserve">Session API — Conversation Endpoints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20"/>
                <w:szCs w:val="20"/>
              </w:rPr>
              <w:t xml:space="preserve">HTTP API layer inspired by OpenAI Responses API. Stateful session management over our DB. Allows previous_session_id pattern.</w:t>
            </w:r>
          </w:p>
        </w:tc>
        <w:tc>
          <w:tcPr>
            <w:tcW w:type="dxa" w:w="560"/>
            <w:tcBorders>
              <w:top w:val="single" w:color="CCCCCC" w:sz="1"/>
              <w:left w:val="single" w:color="CCCCCC" w:sz="1"/>
              <w:bottom w:val="single" w:color="CCCCCC" w:sz="1"/>
              <w:right w:val="single" w:color="CCCCCC" w:sz="1"/>
            </w:tcBorders>
            <w:shd w:fill="B71C1C" w:val="clear"/>
            <w:tcMar>
              <w:top w:type="dxa" w:w="70"/>
              <w:left w:type="dxa" w:w="80"/>
              <w:bottom w:type="dxa" w:w="70"/>
              <w:right w:type="dxa" w:w="80"/>
            </w:tcMar>
            <w:vAlign w:val="center"/>
          </w:tcPr>
          <w:p>
            <w:pPr>
              <w:jc w:val="center"/>
            </w:pPr>
            <w:r>
              <w:rPr>
                <w:rFonts w:ascii="Arial" w:cs="Arial" w:eastAsia="Arial" w:hAnsi="Arial"/>
                <w:b/>
                <w:bCs/>
                <w:color w:val="FFFFFF"/>
                <w:sz w:val="20"/>
                <w:szCs w:val="20"/>
              </w:rPr>
              <w:t xml:space="preserve">P0</w:t>
            </w:r>
          </w:p>
        </w:tc>
        <w:tc>
          <w:tcPr>
            <w:tcW w:type="dxa" w:w="6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color w:val="1A1A1A"/>
                <w:sz w:val="20"/>
                <w:szCs w:val="20"/>
              </w:rPr>
              <w:t xml:space="preserve">6</w:t>
            </w:r>
          </w:p>
        </w:tc>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color w:val="1A1A1A"/>
                <w:sz w:val="20"/>
                <w:szCs w:val="20"/>
              </w:rPr>
              <w:t xml:space="preserve">2d</w:t>
            </w:r>
          </w:p>
        </w:tc>
        <w:tc>
          <w:tcPr>
            <w:tcW w:type="dxa" w:w="14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rFonts w:ascii="Arial" w:cs="Arial" w:eastAsia="Arial" w:hAnsi="Arial"/>
                <w:i/>
                <w:iCs/>
                <w:color w:val="666666"/>
                <w:sz w:val="19"/>
                <w:szCs w:val="19"/>
              </w:rPr>
              <w:t xml:space="preserve">T-13,T-18</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T-19.1</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POST /sessions</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Create a new session. Body: {model, systemPrompt, tenantId, botId, config}. Returns: {sessionId, createdAt, status:'idle'}.</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6</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2h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T-19.2</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POST /sessions/{id}/message</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Send a message to an existing session. Loads snapshot from store, appends message, calls LLM, saves updated snapshot. Body: {content, stream?}. Returns: CanonicalResponse or SSE stream. This is the previous_response_id equivalent.</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6</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4h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T-19.3</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GET /sessions/{id}</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Get session metadata + full message history. Returns: SessionMeta + messages[]. Supports ?include=messages,usage,cost.</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6</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1h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T-19.4</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GET /sessions/{id}/messages</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Paginated message history. Params: limit, before, after (cursor). Returns: {messages[], hasMore, nextCursor}.</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6</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2h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T-19.5</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DELETE /sessions/{id}</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Delete session and all messages from store. Returns 204. GDPR-compliant erasure.</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6</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1h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T-19.6</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POST /sessions/{id}/compact</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Manually trigger context compaction (summarisation strategy). Returns compacted session metadata. Mirrors OpenAI's /responses/compact endpoint.</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6</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2h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T-19.7</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POST /sessions/{id}/fork</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Fork a session at a given message index. Creates new session from that point. Useful for A/B testing different system prompts.</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6</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2h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T-19.8</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GET /sessions</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List sessions for a tenant. Supports filters: model, status, from/to date, limit/cursor. Returns: SessionMeta[].</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6</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2h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T-19.9</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Session streaming</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POST /sessions/{id}/message with stream:true returns SSE. Events mirror canonical StreamChunks: session.text.delta, session.tool_call.start, session.done, session.error.</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6</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3h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T-19.10</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Middleware: tenant auth</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Every endpoint validates tenantId from JWT or API key header. Sets DB session context for RLS.</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6</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2h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F4E79"/>
                <w:sz w:val="20"/>
                <w:szCs w:val="20"/>
              </w:rPr>
              <w:t xml:space="preserve">T-20</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21"/>
                <w:szCs w:val="21"/>
              </w:rPr>
              <w:t xml:space="preserve">Session API — OpenAI Responses API Mapping</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20"/>
                <w:szCs w:val="20"/>
              </w:rPr>
              <w:t xml:space="preserve">Design notes for how our Session API maps to OpenAI Responses API concepts</w:t>
            </w:r>
          </w:p>
        </w:tc>
        <w:tc>
          <w:tcPr>
            <w:tcW w:type="dxa" w:w="560"/>
            <w:tcBorders>
              <w:top w:val="single" w:color="CCCCCC" w:sz="1"/>
              <w:left w:val="single" w:color="CCCCCC" w:sz="1"/>
              <w:bottom w:val="single" w:color="CCCCCC" w:sz="1"/>
              <w:right w:val="single" w:color="CCCCCC" w:sz="1"/>
            </w:tcBorders>
            <w:shd w:fill="B71C1C" w:val="clear"/>
            <w:tcMar>
              <w:top w:type="dxa" w:w="70"/>
              <w:left w:type="dxa" w:w="80"/>
              <w:bottom w:type="dxa" w:w="70"/>
              <w:right w:type="dxa" w:w="80"/>
            </w:tcMar>
            <w:vAlign w:val="center"/>
          </w:tcPr>
          <w:p>
            <w:pPr>
              <w:jc w:val="center"/>
            </w:pPr>
            <w:r>
              <w:rPr>
                <w:rFonts w:ascii="Arial" w:cs="Arial" w:eastAsia="Arial" w:hAnsi="Arial"/>
                <w:b/>
                <w:bCs/>
                <w:color w:val="FFFFFF"/>
                <w:sz w:val="20"/>
                <w:szCs w:val="20"/>
              </w:rPr>
              <w:t xml:space="preserve">P0</w:t>
            </w:r>
          </w:p>
        </w:tc>
        <w:tc>
          <w:tcPr>
            <w:tcW w:type="dxa" w:w="6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color w:val="1A1A1A"/>
                <w:sz w:val="20"/>
                <w:szCs w:val="20"/>
              </w:rPr>
              <w:t xml:space="preserve">6</w:t>
            </w:r>
          </w:p>
        </w:tc>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color w:val="1A1A1A"/>
                <w:sz w:val="20"/>
                <w:szCs w:val="20"/>
              </w:rPr>
              <w:t xml:space="preserve">0.5d</w:t>
            </w:r>
          </w:p>
        </w:tc>
        <w:tc>
          <w:tcPr>
            <w:tcW w:type="dxa" w:w="14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rFonts w:ascii="Arial" w:cs="Arial" w:eastAsia="Arial" w:hAnsi="Arial"/>
                <w:i/>
                <w:iCs/>
                <w:color w:val="666666"/>
                <w:sz w:val="19"/>
                <w:szCs w:val="19"/>
              </w:rPr>
              <w:t xml:space="preserve">T-19</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T-20.1</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previous_response_id equivalent</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Our POST /sessions/{id}/message IS the equivalent. Pass sessionId instead of rebuilding message history. We load state from DB; OpenAI loads from their servers.</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6</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Design</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T-20.2</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conversation parameter</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Our sessionId maps to OpenAI's conversation parameter. Inputs auto-appended after each response.</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6</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Design</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T-20.3</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context_management / compact_threshold</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Our Conversation.maxContextTokens + contextStrategy maps to context_management.compact_threshold. Auto-triggered on threshold.</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6</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Design</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T-20.4</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background parameter</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Our POST /sessions/{id}/message can be async (jobId returned, webhook on completion). Phase 4 enhancement.</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7B3F00"/>
                <w:sz w:val="19"/>
                <w:szCs w:val="19"/>
              </w:rPr>
              <w:t xml:space="preserve">P1</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6</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Future</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T-20.5</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include parameter</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Our GET ?include=messages,usage,cost maps to OpenAI's include[] for additional output data.</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6</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Design</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24242" w:val="clear"/>
            <w:tcMar>
              <w:top w:type="dxa" w:w="120"/>
              <w:left w:type="dxa" w:w="200"/>
              <w:bottom w:type="dxa" w:w="120"/>
              <w:right w:type="dxa" w:w="200"/>
            </w:tcMar>
          </w:tcPr>
          <w:p>
            <w:r>
              <w:rPr>
                <w:rFonts w:ascii="Arial" w:cs="Arial" w:eastAsia="Arial" w:hAnsi="Arial"/>
                <w:b/>
                <w:bCs/>
                <w:color w:val="FFFFFF"/>
                <w:sz w:val="30"/>
                <w:szCs w:val="30"/>
              </w:rPr>
              <w:t xml:space="preserve">Phase 7 — Testing, Documentation &amp; Performance</w:t>
            </w:r>
          </w:p>
        </w:tc>
      </w:tr>
    </w:tbl>
    <w:p>
      <w:pPr>
        <w:spacing w:after="0" w:before="60"/>
      </w:pPr>
      <w:r>
        <w:t xml:space="preserve"/>
      </w:r>
    </w:p>
    <w:p>
      <w:pPr>
        <w:pStyle w:val="Heading1"/>
        <w:pBdr>
          <w:bottom w:val="single" w:color="2E75B6" w:sz="8" w:space="4"/>
        </w:pBdr>
        <w:spacing w:after="120" w:before="360"/>
      </w:pPr>
      <w:r>
        <w:rPr>
          <w:rFonts w:ascii="Arial" w:cs="Arial" w:eastAsia="Arial" w:hAnsi="Arial"/>
          <w:b/>
          <w:bCs/>
          <w:color w:val="1F4E79"/>
          <w:sz w:val="36"/>
          <w:szCs w:val="36"/>
        </w:rPr>
        <w:t xml:space="preserve">Phase 7 — Testing, Documentation &amp; Performance</w:t>
      </w:r>
    </w:p>
    <w:p>
      <w:pPr>
        <w:spacing w:after="70" w:before="70"/>
      </w:pPr>
      <w:r>
        <w:rPr>
          <w:rFonts w:ascii="Arial" w:cs="Arial" w:eastAsia="Arial" w:hAnsi="Arial"/>
          <w:color w:val="1A1A1A"/>
          <w:sz w:val="22"/>
          <w:szCs w:val="22"/>
        </w:rPr>
        <w:t xml:space="preserve">Everything needed to ship with confidence: comprehensive test coverage, full API documentation, and verified performance benchmarks.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3000"/>
        <w:gridCol w:w="560"/>
        <w:gridCol w:w="600"/>
        <w:gridCol w:w="700"/>
        <w:gridCol w:w="140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rFonts w:ascii="Arial" w:cs="Arial" w:eastAsia="Arial" w:hAnsi="Arial"/>
                <w:b/>
                <w:bCs/>
                <w:color w:val="FFFFFF"/>
                <w:sz w:val="20"/>
                <w:szCs w:val="20"/>
              </w:rPr>
              <w:t xml:space="preserve">ID</w:t>
            </w:r>
          </w:p>
        </w:tc>
        <w:tc>
          <w:tcPr>
            <w:tcW w:type="dxa" w:w="2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Task / Subtask</w:t>
            </w:r>
          </w:p>
        </w:tc>
        <w:tc>
          <w:tcPr>
            <w:tcW w:type="dxa" w:w="3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Description &amp; Acceptance Criteria</w:t>
            </w:r>
          </w:p>
        </w:tc>
        <w:tc>
          <w:tcPr>
            <w:tcW w:type="dxa" w:w="56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rFonts w:ascii="Arial" w:cs="Arial" w:eastAsia="Arial" w:hAnsi="Arial"/>
                <w:b/>
                <w:bCs/>
                <w:color w:val="FFFFFF"/>
                <w:sz w:val="20"/>
                <w:szCs w:val="20"/>
              </w:rPr>
              <w:t xml:space="preserve">Pri</w:t>
            </w:r>
          </w:p>
        </w:tc>
        <w:tc>
          <w:tcPr>
            <w:tcW w:type="dxa" w:w="6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rFonts w:ascii="Arial" w:cs="Arial" w:eastAsia="Arial" w:hAnsi="Arial"/>
                <w:b/>
                <w:bCs/>
                <w:color w:val="FFFFFF"/>
                <w:sz w:val="20"/>
                <w:szCs w:val="20"/>
              </w:rPr>
              <w:t xml:space="preserve">Phase</w:t>
            </w:r>
          </w:p>
        </w:tc>
        <w:tc>
          <w:tcPr>
            <w:tcW w:type="dxa" w:w="7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rFonts w:ascii="Arial" w:cs="Arial" w:eastAsia="Arial" w:hAnsi="Arial"/>
                <w:b/>
                <w:bCs/>
                <w:color w:val="FFFFFF"/>
                <w:sz w:val="20"/>
                <w:szCs w:val="20"/>
              </w:rPr>
              <w:t xml:space="preserve">Effort</w:t>
            </w:r>
          </w:p>
        </w:tc>
        <w:tc>
          <w:tcPr>
            <w:tcW w:type="dxa" w:w="14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20"/>
                <w:szCs w:val="20"/>
              </w:rPr>
              <w:t xml:space="preserve">Dependencies</w:t>
            </w:r>
          </w:p>
        </w:tc>
      </w:tr>
      <w:tr>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F4E79"/>
                <w:sz w:val="20"/>
                <w:szCs w:val="20"/>
              </w:rPr>
              <w:t xml:space="preserve">T-21</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21"/>
                <w:szCs w:val="21"/>
              </w:rPr>
              <w:t xml:space="preserve">Testing — Integration &amp; E2E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20"/>
                <w:szCs w:val="20"/>
              </w:rPr>
              <w:t xml:space="preserve">Full integration test suite across all providers using mocks + optional live API tests</w:t>
            </w:r>
          </w:p>
        </w:tc>
        <w:tc>
          <w:tcPr>
            <w:tcW w:type="dxa" w:w="560"/>
            <w:tcBorders>
              <w:top w:val="single" w:color="CCCCCC" w:sz="1"/>
              <w:left w:val="single" w:color="CCCCCC" w:sz="1"/>
              <w:bottom w:val="single" w:color="CCCCCC" w:sz="1"/>
              <w:right w:val="single" w:color="CCCCCC" w:sz="1"/>
            </w:tcBorders>
            <w:shd w:fill="B71C1C" w:val="clear"/>
            <w:tcMar>
              <w:top w:type="dxa" w:w="70"/>
              <w:left w:type="dxa" w:w="80"/>
              <w:bottom w:type="dxa" w:w="70"/>
              <w:right w:type="dxa" w:w="80"/>
            </w:tcMar>
            <w:vAlign w:val="center"/>
          </w:tcPr>
          <w:p>
            <w:pPr>
              <w:jc w:val="center"/>
            </w:pPr>
            <w:r>
              <w:rPr>
                <w:rFonts w:ascii="Arial" w:cs="Arial" w:eastAsia="Arial" w:hAnsi="Arial"/>
                <w:b/>
                <w:bCs/>
                <w:color w:val="FFFFFF"/>
                <w:sz w:val="20"/>
                <w:szCs w:val="20"/>
              </w:rPr>
              <w:t xml:space="preserve">P0</w:t>
            </w:r>
          </w:p>
        </w:tc>
        <w:tc>
          <w:tcPr>
            <w:tcW w:type="dxa" w:w="6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color w:val="1A1A1A"/>
                <w:sz w:val="20"/>
                <w:szCs w:val="20"/>
              </w:rPr>
              <w:t xml:space="preserve">7</w:t>
            </w:r>
          </w:p>
        </w:tc>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color w:val="1A1A1A"/>
                <w:sz w:val="20"/>
                <w:szCs w:val="20"/>
              </w:rPr>
              <w:t xml:space="preserve">2d</w:t>
            </w:r>
          </w:p>
        </w:tc>
        <w:tc>
          <w:tcPr>
            <w:tcW w:type="dxa" w:w="14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rFonts w:ascii="Arial" w:cs="Arial" w:eastAsia="Arial" w:hAnsi="Arial"/>
                <w:i/>
                <w:iCs/>
                <w:color w:val="666666"/>
                <w:sz w:val="19"/>
                <w:szCs w:val="19"/>
              </w:rPr>
              <w:t xml:space="preserve">T-18,T-19</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T-21.1</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Provider mock servers</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Lightweight HTTP servers (using node:http) that return realistic provider-specific responses for: text, tool call, streaming, error scenarios.</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7</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4h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T-21.2</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Cross-tenant isolation tests</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Prove that ConversationA's history never bleeds into ConversationB. Automated assertion after every deployment.</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7</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2h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T-21.3</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Tool call round-trip tests</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For each provider: send tool-calling request → verify correct format sent → return mock tool result → verify final response. All 3 providers.</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7</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3h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T-21.4</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Context trimming tests</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Simulate long conversation, verify sliding window removes correct messages, verify pinned messages preserved.</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7</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2h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T-21.5</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Cost accuracy tests</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Compare calculated cost vs expected for all 12 models. Tolerance ±1%.</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7</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1h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T-21.6</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Session API tests</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Full lifecycle: create session → send messages → get history → fork → compact → delete.</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7</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3h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T-21.7</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Live API smoke tests (optional)</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Gated by env var LIVE_TESTS=1. Sends 1 real request to each provider. For pre-release validation only. Not in CI.</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B71C1C"/>
                <w:sz w:val="19"/>
                <w:szCs w:val="19"/>
              </w:rPr>
              <w:t xml:space="preserve">P0</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7</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2h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F4E79"/>
                <w:sz w:val="20"/>
                <w:szCs w:val="20"/>
              </w:rPr>
              <w:t xml:space="preserve">T-22</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21"/>
                <w:szCs w:val="21"/>
              </w:rPr>
              <w:t xml:space="preserve">Documentation</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20"/>
                <w:szCs w:val="20"/>
              </w:rPr>
              <w:t xml:space="preserve">JSDoc, README, API reference, migration guide</w:t>
            </w:r>
          </w:p>
        </w:tc>
        <w:tc>
          <w:tcPr>
            <w:tcW w:type="dxa" w:w="560"/>
            <w:tcBorders>
              <w:top w:val="single" w:color="CCCCCC" w:sz="1"/>
              <w:left w:val="single" w:color="CCCCCC" w:sz="1"/>
              <w:bottom w:val="single" w:color="CCCCCC" w:sz="1"/>
              <w:right w:val="single" w:color="CCCCCC" w:sz="1"/>
            </w:tcBorders>
            <w:shd w:fill="7B3F00" w:val="clear"/>
            <w:tcMar>
              <w:top w:type="dxa" w:w="70"/>
              <w:left w:type="dxa" w:w="80"/>
              <w:bottom w:type="dxa" w:w="70"/>
              <w:right w:type="dxa" w:w="80"/>
            </w:tcMar>
            <w:vAlign w:val="center"/>
          </w:tcPr>
          <w:p>
            <w:pPr>
              <w:jc w:val="center"/>
            </w:pPr>
            <w:r>
              <w:rPr>
                <w:rFonts w:ascii="Arial" w:cs="Arial" w:eastAsia="Arial" w:hAnsi="Arial"/>
                <w:b/>
                <w:bCs/>
                <w:color w:val="FFFFFF"/>
                <w:sz w:val="20"/>
                <w:szCs w:val="20"/>
              </w:rPr>
              <w:t xml:space="preserve">P1</w:t>
            </w:r>
          </w:p>
        </w:tc>
        <w:tc>
          <w:tcPr>
            <w:tcW w:type="dxa" w:w="6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color w:val="1A1A1A"/>
                <w:sz w:val="20"/>
                <w:szCs w:val="20"/>
              </w:rPr>
              <w:t xml:space="preserve">7</w:t>
            </w:r>
          </w:p>
        </w:tc>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color w:val="1A1A1A"/>
                <w:sz w:val="20"/>
                <w:szCs w:val="20"/>
              </w:rPr>
              <w:t xml:space="preserve">2d</w:t>
            </w:r>
          </w:p>
        </w:tc>
        <w:tc>
          <w:tcPr>
            <w:tcW w:type="dxa" w:w="14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rFonts w:ascii="Arial" w:cs="Arial" w:eastAsia="Arial" w:hAnsi="Arial"/>
                <w:i/>
                <w:iCs/>
                <w:color w:val="666666"/>
                <w:sz w:val="19"/>
                <w:szCs w:val="19"/>
              </w:rPr>
              <w:t xml:space="preserve">T-18</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T-22.1</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JSDoc on all public APIs</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Every exported function, class, method, and type. Include @example blocks for the most common patterns.</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7B3F00"/>
                <w:sz w:val="19"/>
                <w:szCs w:val="19"/>
              </w:rPr>
              <w:t xml:space="preserve">P1</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7</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4h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T-22.2</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README.md</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Quick start (15 lines to first response), provider setup, feature overview, link to full docs.</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7B3F00"/>
                <w:sz w:val="19"/>
                <w:szCs w:val="19"/>
              </w:rPr>
              <w:t xml:space="preserve">P1</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7</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2h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T-22.3</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API reference (auto-generated)</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typedoc generates HTML from JSDoc. Published to GitHub Pages on release.</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7B3F00"/>
                <w:sz w:val="19"/>
                <w:szCs w:val="19"/>
              </w:rPr>
              <w:t xml:space="preserve">P1</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7</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1h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T-22.4</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Provider comparison guide</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Table: which features work on which providers. Format differences. When to use each.</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7B3F00"/>
                <w:sz w:val="19"/>
                <w:szCs w:val="19"/>
              </w:rPr>
              <w:t xml:space="preserve">P1</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7</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2h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T-22.5</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Migration guide (from raw SDKs)</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Before/after examples for Anthropic SDK → [LIB], openai npm → [LIB], @google/generative-ai → [LIB].</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7B3F00"/>
                <w:sz w:val="19"/>
                <w:szCs w:val="19"/>
              </w:rPr>
              <w:t xml:space="preserve">P1</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7</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3h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T-22.6</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CHANGELOG.md</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Conventional commits. Every release entry: what changed, why, breaking change migration steps.</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7B3F00"/>
                <w:sz w:val="19"/>
                <w:szCs w:val="19"/>
              </w:rPr>
              <w:t xml:space="preserve">P1</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7</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1h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F4E79"/>
                <w:sz w:val="20"/>
                <w:szCs w:val="20"/>
              </w:rPr>
              <w:t xml:space="preserve">T-23</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21"/>
                <w:szCs w:val="21"/>
              </w:rPr>
              <w:t xml:space="preserve">Performance &amp; Benchmarking</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20"/>
                <w:szCs w:val="20"/>
              </w:rPr>
              <w:t xml:space="preserve">Verify &lt; 5ms overhead target. Bundle size checks.</w:t>
            </w:r>
          </w:p>
        </w:tc>
        <w:tc>
          <w:tcPr>
            <w:tcW w:type="dxa" w:w="560"/>
            <w:tcBorders>
              <w:top w:val="single" w:color="CCCCCC" w:sz="1"/>
              <w:left w:val="single" w:color="CCCCCC" w:sz="1"/>
              <w:bottom w:val="single" w:color="CCCCCC" w:sz="1"/>
              <w:right w:val="single" w:color="CCCCCC" w:sz="1"/>
            </w:tcBorders>
            <w:shd w:fill="7B3F00" w:val="clear"/>
            <w:tcMar>
              <w:top w:type="dxa" w:w="70"/>
              <w:left w:type="dxa" w:w="80"/>
              <w:bottom w:type="dxa" w:w="70"/>
              <w:right w:type="dxa" w:w="80"/>
            </w:tcMar>
            <w:vAlign w:val="center"/>
          </w:tcPr>
          <w:p>
            <w:pPr>
              <w:jc w:val="center"/>
            </w:pPr>
            <w:r>
              <w:rPr>
                <w:rFonts w:ascii="Arial" w:cs="Arial" w:eastAsia="Arial" w:hAnsi="Arial"/>
                <w:b/>
                <w:bCs/>
                <w:color w:val="FFFFFF"/>
                <w:sz w:val="20"/>
                <w:szCs w:val="20"/>
              </w:rPr>
              <w:t xml:space="preserve">P1</w:t>
            </w:r>
          </w:p>
        </w:tc>
        <w:tc>
          <w:tcPr>
            <w:tcW w:type="dxa" w:w="6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color w:val="1A1A1A"/>
                <w:sz w:val="20"/>
                <w:szCs w:val="20"/>
              </w:rPr>
              <w:t xml:space="preserve">7</w:t>
            </w:r>
          </w:p>
        </w:tc>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color w:val="1A1A1A"/>
                <w:sz w:val="20"/>
                <w:szCs w:val="20"/>
              </w:rPr>
              <w:t xml:space="preserve">1d</w:t>
            </w:r>
          </w:p>
        </w:tc>
        <w:tc>
          <w:tcPr>
            <w:tcW w:type="dxa" w:w="14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rFonts w:ascii="Arial" w:cs="Arial" w:eastAsia="Arial" w:hAnsi="Arial"/>
                <w:i/>
                <w:iCs/>
                <w:color w:val="666666"/>
                <w:sz w:val="19"/>
                <w:szCs w:val="19"/>
              </w:rPr>
              <w:t xml:space="preserve">T-18</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T-23.1</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Latency benchmark</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Measure time from llm.complete() call to provider fetch() call. Must be &lt; 5ms for all paths. Use node:perf_hooks.</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7B3F00"/>
                <w:sz w:val="19"/>
                <w:szCs w:val="19"/>
              </w:rPr>
              <w:t xml:space="preserve">P1</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7</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2h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T-23.2</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Bundle size check</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Build and check: full bundle &lt; 150KB gzipped. Individual provider adapter &lt; 15KB gzipped. Automated check in CI.</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7B3F00"/>
                <w:sz w:val="19"/>
                <w:szCs w:val="19"/>
              </w:rPr>
              <w:t xml:space="preserve">P1</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7</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1h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T-23.3</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Memory leak check</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Run 10,000 conversation turns in a loop. Verify no memory growth. Use node --inspect and heap snapshots.</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7B3F00"/>
                <w:sz w:val="19"/>
                <w:szCs w:val="19"/>
              </w:rPr>
              <w:t xml:space="preserve">P1</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7</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2h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r>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T-23.4</w:t>
            </w:r>
          </w:p>
        </w:tc>
        <w:tc>
          <w:tcPr>
            <w:tcW w:type="dxa" w:w="2400"/>
            <w:tcBorders>
              <w:top w:val="single" w:color="CCCCCC" w:sz="1"/>
              <w:left w:val="single" w:color="CCCCCC" w:sz="1"/>
              <w:bottom w:val="single" w:color="CCCCCC" w:sz="1"/>
              <w:right w:val="single" w:color="CCCCCC" w:sz="1"/>
            </w:tcBorders>
            <w:shd w:fill="FAFAFA" w:val="clear"/>
            <w:tcMar>
              <w:top w:type="dxa" w:w="55"/>
              <w:left w:type="dxa" w:w="160"/>
              <w:bottom w:type="dxa" w:w="55"/>
              <w:right w:type="dxa" w:w="100"/>
            </w:tcMar>
          </w:tcPr>
          <w:p>
            <w:r>
              <w:rPr>
                <w:rFonts w:ascii="Arial" w:cs="Arial" w:eastAsia="Arial" w:hAnsi="Arial"/>
                <w:color w:val="424242"/>
                <w:sz w:val="20"/>
                <w:szCs w:val="20"/>
              </w:rPr>
              <w:t xml:space="preserve">↳ Concurrent session test</w:t>
            </w:r>
          </w:p>
        </w:tc>
        <w:tc>
          <w:tcPr>
            <w:tcW w:type="dxa" w:w="3000"/>
            <w:tcBorders>
              <w:top w:val="single" w:color="CCCCCC" w:sz="1"/>
              <w:left w:val="single" w:color="CCCCCC" w:sz="1"/>
              <w:bottom w:val="single" w:color="CCCCCC" w:sz="1"/>
              <w:right w:val="single" w:color="CCCCCC" w:sz="1"/>
            </w:tcBorders>
            <w:shd w:fill="FAFAFA" w:val="clear"/>
            <w:tcMar>
              <w:top w:type="dxa" w:w="55"/>
              <w:left w:type="dxa" w:w="100"/>
              <w:bottom w:type="dxa" w:w="55"/>
              <w:right w:type="dxa" w:w="100"/>
            </w:tcMar>
          </w:tcPr>
          <w:p>
            <w:r>
              <w:rPr>
                <w:rFonts w:ascii="Arial" w:cs="Arial" w:eastAsia="Arial" w:hAnsi="Arial"/>
                <w:color w:val="555555"/>
                <w:sz w:val="19"/>
                <w:szCs w:val="19"/>
              </w:rPr>
              <w:t xml:space="preserve">100 concurrent Conversation instances sending messages simultaneously. Verify no cross-contamination, no deadlocks.</w:t>
            </w:r>
          </w:p>
        </w:tc>
        <w:tc>
          <w:tcPr>
            <w:tcW w:type="dxa" w:w="56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7B3F00"/>
                <w:sz w:val="19"/>
                <w:szCs w:val="19"/>
              </w:rPr>
              <w:t xml:space="preserve">P1</w:t>
            </w:r>
          </w:p>
        </w:tc>
        <w:tc>
          <w:tcPr>
            <w:tcW w:type="dxa" w:w="6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7</w:t>
            </w:r>
          </w:p>
        </w:tc>
        <w:tc>
          <w:tcPr>
            <w:tcW w:type="dxa" w:w="7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pPr>
              <w:jc w:val="center"/>
            </w:pPr>
            <w:r>
              <w:rPr>
                <w:rFonts w:ascii="Arial" w:cs="Arial" w:eastAsia="Arial" w:hAnsi="Arial"/>
                <w:color w:val="888888"/>
                <w:sz w:val="19"/>
                <w:szCs w:val="19"/>
              </w:rPr>
              <w:t xml:space="preserve">2h</w:t>
            </w:r>
          </w:p>
        </w:tc>
        <w:tc>
          <w:tcPr>
            <w:tcW w:type="dxa" w:w="1400"/>
            <w:tcBorders>
              <w:top w:val="single" w:color="CCCCCC" w:sz="1"/>
              <w:left w:val="single" w:color="CCCCCC" w:sz="1"/>
              <w:bottom w:val="single" w:color="CCCCCC" w:sz="1"/>
              <w:right w:val="single" w:color="CCCCCC" w:sz="1"/>
            </w:tcBorders>
            <w:shd w:fill="FAFAFA" w:val="clear"/>
            <w:tcMar>
              <w:top w:type="dxa" w:w="55"/>
              <w:left w:type="dxa" w:w="80"/>
              <w:bottom w:type="dxa" w:w="55"/>
              <w:right w:type="dxa" w:w="80"/>
            </w:tcMar>
          </w:tcPr>
          <w:p>
            <w:r>
              <w:rPr>
                <w:rFonts w:ascii="Arial" w:cs="Arial" w:eastAsia="Arial" w:hAnsi="Arial"/>
                <w:i/>
                <w:iCs/>
                <w:color w:val="888888"/>
                <w:sz w:val="19"/>
                <w:szCs w:val="19"/>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r>
              <w:rPr>
                <w:rFonts w:ascii="Arial" w:cs="Arial" w:eastAsia="Arial" w:hAnsi="Arial"/>
                <w:b/>
                <w:bCs/>
                <w:color w:val="FFFFFF"/>
                <w:sz w:val="30"/>
                <w:szCs w:val="30"/>
              </w:rPr>
              <w:t xml:space="preserve">Critical Path &amp; Dependencies</w:t>
            </w:r>
          </w:p>
        </w:tc>
      </w:tr>
    </w:tbl>
    <w:p>
      <w:pPr>
        <w:spacing w:after="0" w:before="60"/>
      </w:pPr>
      <w:r>
        <w:t xml:space="preserve"/>
      </w:r>
    </w:p>
    <w:p>
      <w:pPr>
        <w:pStyle w:val="Heading1"/>
        <w:pBdr>
          <w:bottom w:val="single" w:color="2E75B6" w:sz="8" w:space="4"/>
        </w:pBdr>
        <w:spacing w:after="120" w:before="360"/>
      </w:pPr>
      <w:r>
        <w:rPr>
          <w:rFonts w:ascii="Arial" w:cs="Arial" w:eastAsia="Arial" w:hAnsi="Arial"/>
          <w:b/>
          <w:bCs/>
          <w:color w:val="1F4E79"/>
          <w:sz w:val="36"/>
          <w:szCs w:val="36"/>
        </w:rPr>
        <w:t xml:space="preserve">Critical Path &amp; Dependencies</w:t>
      </w:r>
    </w:p>
    <w:p>
      <w:pPr>
        <w:spacing w:after="70" w:before="70"/>
      </w:pPr>
      <w:r>
        <w:rPr>
          <w:rFonts w:ascii="Arial" w:cs="Arial" w:eastAsia="Arial" w:hAnsi="Arial"/>
          <w:color w:val="1A1A1A"/>
          <w:sz w:val="22"/>
          <w:szCs w:val="22"/>
        </w:rPr>
        <w:t xml:space="preserve">The critical path is the minimum sequence of tasks that determines the earliest ship date. All items on the critical path must be done sequentially — they cannot be parallelised.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000"/>
        <w:gridCol w:w="336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Step</w:t>
            </w:r>
          </w:p>
        </w:tc>
        <w:tc>
          <w:tcPr>
            <w:tcW w:type="dxa" w:w="2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Task</w:t>
            </w:r>
          </w:p>
        </w:tc>
        <w:tc>
          <w:tcPr>
            <w:tcW w:type="dxa" w:w="3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Unblocks</w:t>
            </w:r>
          </w:p>
        </w:tc>
        <w:tc>
          <w:tcPr>
            <w:tcW w:type="dxa" w:w="33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Est. Days</w:t>
            </w:r>
          </w:p>
        </w:tc>
      </w:tr>
      <w:tr>
        <w:tc>
          <w:tcPr>
            <w:tcW w:type="dxa" w:w="6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T-01: Project Setup</w:t>
            </w:r>
          </w:p>
        </w:tc>
        <w:tc>
          <w:tcPr>
            <w:tcW w:type="dxa" w:w="30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Everything</w:t>
            </w:r>
          </w:p>
        </w:tc>
        <w:tc>
          <w:tcPr>
            <w:tcW w:type="dxa" w:w="336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0.5d</w:t>
            </w:r>
          </w:p>
        </w:tc>
      </w:tr>
      <w:tr>
        <w:tc>
          <w:tcPr>
            <w:tcW w:type="dxa" w:w="600"/>
            <w:tcBorders>
              <w:top w:val="single" w:color="CCCCCC" w:sz="1"/>
              <w:left w:val="single" w:color="CCCCCC" w:sz="1"/>
              <w:bottom w:val="single" w:color="CCCCCC" w:sz="1"/>
              <w:right w:val="single" w:color="CCCCCC" w:sz="1"/>
            </w:tcBorders>
            <w:shd w:fill="F5F5F5" w:val="clear"/>
            <w:tcMar>
              <w:top w:type="dxa" w:w="75"/>
              <w:left w:type="dxa" w:w="100"/>
              <w:bottom w:type="dxa" w:w="75"/>
              <w:right w:type="dxa" w:w="100"/>
            </w:tcMar>
          </w:tcPr>
          <w:p>
            <w:r>
              <w:rPr>
                <w:rFonts w:ascii="Arial" w:cs="Arial" w:eastAsia="Arial" w:hAnsi="Arial"/>
                <w:color w:val="1A1A1A"/>
                <w:sz w:val="20"/>
                <w:szCs w:val="20"/>
              </w:rPr>
              <w:t xml:space="preserve">2</w:t>
            </w:r>
          </w:p>
        </w:tc>
        <w:tc>
          <w:tcPr>
            <w:tcW w:type="dxa" w:w="2400"/>
            <w:tcBorders>
              <w:top w:val="single" w:color="CCCCCC" w:sz="1"/>
              <w:left w:val="single" w:color="CCCCCC" w:sz="1"/>
              <w:bottom w:val="single" w:color="CCCCCC" w:sz="1"/>
              <w:right w:val="single" w:color="CCCCCC" w:sz="1"/>
            </w:tcBorders>
            <w:shd w:fill="F5F5F5" w:val="clear"/>
            <w:tcMar>
              <w:top w:type="dxa" w:w="75"/>
              <w:left w:type="dxa" w:w="100"/>
              <w:bottom w:type="dxa" w:w="75"/>
              <w:right w:type="dxa" w:w="100"/>
            </w:tcMar>
          </w:tcPr>
          <w:p>
            <w:r>
              <w:rPr>
                <w:rFonts w:ascii="Arial" w:cs="Arial" w:eastAsia="Arial" w:hAnsi="Arial"/>
                <w:color w:val="1A1A1A"/>
                <w:sz w:val="20"/>
                <w:szCs w:val="20"/>
              </w:rPr>
              <w:t xml:space="preserve">T-02: Core Types</w:t>
            </w:r>
          </w:p>
        </w:tc>
        <w:tc>
          <w:tcPr>
            <w:tcW w:type="dxa" w:w="3000"/>
            <w:tcBorders>
              <w:top w:val="single" w:color="CCCCCC" w:sz="1"/>
              <w:left w:val="single" w:color="CCCCCC" w:sz="1"/>
              <w:bottom w:val="single" w:color="CCCCCC" w:sz="1"/>
              <w:right w:val="single" w:color="CCCCCC" w:sz="1"/>
            </w:tcBorders>
            <w:shd w:fill="F5F5F5" w:val="clear"/>
            <w:tcMar>
              <w:top w:type="dxa" w:w="75"/>
              <w:left w:type="dxa" w:w="100"/>
              <w:bottom w:type="dxa" w:w="75"/>
              <w:right w:type="dxa" w:w="100"/>
            </w:tcMar>
          </w:tcPr>
          <w:p>
            <w:r>
              <w:rPr>
                <w:rFonts w:ascii="Arial" w:cs="Arial" w:eastAsia="Arial" w:hAnsi="Arial"/>
                <w:color w:val="1A1A1A"/>
                <w:sz w:val="20"/>
                <w:szCs w:val="20"/>
              </w:rPr>
              <w:t xml:space="preserve">All adapters, all utilities</w:t>
            </w:r>
          </w:p>
        </w:tc>
        <w:tc>
          <w:tcPr>
            <w:tcW w:type="dxa" w:w="3360"/>
            <w:tcBorders>
              <w:top w:val="single" w:color="CCCCCC" w:sz="1"/>
              <w:left w:val="single" w:color="CCCCCC" w:sz="1"/>
              <w:bottom w:val="single" w:color="CCCCCC" w:sz="1"/>
              <w:right w:val="single" w:color="CCCCCC" w:sz="1"/>
            </w:tcBorders>
            <w:shd w:fill="F5F5F5" w:val="clear"/>
            <w:tcMar>
              <w:top w:type="dxa" w:w="75"/>
              <w:left w:type="dxa" w:w="100"/>
              <w:bottom w:type="dxa" w:w="75"/>
              <w:right w:type="dxa" w:w="100"/>
            </w:tcMar>
          </w:tcPr>
          <w:p>
            <w:r>
              <w:rPr>
                <w:rFonts w:ascii="Arial" w:cs="Arial" w:eastAsia="Arial" w:hAnsi="Arial"/>
                <w:color w:val="1A1A1A"/>
                <w:sz w:val="20"/>
                <w:szCs w:val="20"/>
              </w:rPr>
              <w:t xml:space="preserve">1d</w:t>
            </w:r>
          </w:p>
        </w:tc>
      </w:tr>
      <w:tr>
        <w:tc>
          <w:tcPr>
            <w:tcW w:type="dxa" w:w="6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T-03: Model Registry</w:t>
            </w:r>
          </w:p>
        </w:tc>
        <w:tc>
          <w:tcPr>
            <w:tcW w:type="dxa" w:w="30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Cost calc, capability checks</w:t>
            </w:r>
          </w:p>
        </w:tc>
        <w:tc>
          <w:tcPr>
            <w:tcW w:type="dxa" w:w="336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0.5d</w:t>
            </w:r>
          </w:p>
        </w:tc>
      </w:tr>
      <w:tr>
        <w:tc>
          <w:tcPr>
            <w:tcW w:type="dxa" w:w="600"/>
            <w:tcBorders>
              <w:top w:val="single" w:color="CCCCCC" w:sz="1"/>
              <w:left w:val="single" w:color="CCCCCC" w:sz="1"/>
              <w:bottom w:val="single" w:color="CCCCCC" w:sz="1"/>
              <w:right w:val="single" w:color="CCCCCC" w:sz="1"/>
            </w:tcBorders>
            <w:shd w:fill="F5F5F5" w:val="clear"/>
            <w:tcMar>
              <w:top w:type="dxa" w:w="75"/>
              <w:left w:type="dxa" w:w="100"/>
              <w:bottom w:type="dxa" w:w="75"/>
              <w:right w:type="dxa" w:w="100"/>
            </w:tcMar>
          </w:tcPr>
          <w:p>
            <w:r>
              <w:rPr>
                <w:rFonts w:ascii="Arial" w:cs="Arial" w:eastAsia="Arial" w:hAnsi="Arial"/>
                <w:color w:val="1A1A1A"/>
                <w:sz w:val="20"/>
                <w:szCs w:val="20"/>
              </w:rPr>
              <w:t xml:space="preserve">4</w:t>
            </w:r>
          </w:p>
        </w:tc>
        <w:tc>
          <w:tcPr>
            <w:tcW w:type="dxa" w:w="2400"/>
            <w:tcBorders>
              <w:top w:val="single" w:color="CCCCCC" w:sz="1"/>
              <w:left w:val="single" w:color="CCCCCC" w:sz="1"/>
              <w:bottom w:val="single" w:color="CCCCCC" w:sz="1"/>
              <w:right w:val="single" w:color="CCCCCC" w:sz="1"/>
            </w:tcBorders>
            <w:shd w:fill="F5F5F5" w:val="clear"/>
            <w:tcMar>
              <w:top w:type="dxa" w:w="75"/>
              <w:left w:type="dxa" w:w="100"/>
              <w:bottom w:type="dxa" w:w="75"/>
              <w:right w:type="dxa" w:w="100"/>
            </w:tcMar>
          </w:tcPr>
          <w:p>
            <w:r>
              <w:rPr>
                <w:rFonts w:ascii="Arial" w:cs="Arial" w:eastAsia="Arial" w:hAnsi="Arial"/>
                <w:color w:val="1A1A1A"/>
                <w:sz w:val="20"/>
                <w:szCs w:val="20"/>
              </w:rPr>
              <w:t xml:space="preserve">T-04–T-07: Utilities (parallel)</w:t>
            </w:r>
          </w:p>
        </w:tc>
        <w:tc>
          <w:tcPr>
            <w:tcW w:type="dxa" w:w="3000"/>
            <w:tcBorders>
              <w:top w:val="single" w:color="CCCCCC" w:sz="1"/>
              <w:left w:val="single" w:color="CCCCCC" w:sz="1"/>
              <w:bottom w:val="single" w:color="CCCCCC" w:sz="1"/>
              <w:right w:val="single" w:color="CCCCCC" w:sz="1"/>
            </w:tcBorders>
            <w:shd w:fill="F5F5F5" w:val="clear"/>
            <w:tcMar>
              <w:top w:type="dxa" w:w="75"/>
              <w:left w:type="dxa" w:w="100"/>
              <w:bottom w:type="dxa" w:w="75"/>
              <w:right w:type="dxa" w:w="100"/>
            </w:tcMar>
          </w:tcPr>
          <w:p>
            <w:r>
              <w:rPr>
                <w:rFonts w:ascii="Arial" w:cs="Arial" w:eastAsia="Arial" w:hAnsi="Arial"/>
                <w:color w:val="1A1A1A"/>
                <w:sz w:val="20"/>
                <w:szCs w:val="20"/>
              </w:rPr>
              <w:t xml:space="preserve">SSE, retry, cost, tokens</w:t>
            </w:r>
          </w:p>
        </w:tc>
        <w:tc>
          <w:tcPr>
            <w:tcW w:type="dxa" w:w="3360"/>
            <w:tcBorders>
              <w:top w:val="single" w:color="CCCCCC" w:sz="1"/>
              <w:left w:val="single" w:color="CCCCCC" w:sz="1"/>
              <w:bottom w:val="single" w:color="CCCCCC" w:sz="1"/>
              <w:right w:val="single" w:color="CCCCCC" w:sz="1"/>
            </w:tcBorders>
            <w:shd w:fill="F5F5F5" w:val="clear"/>
            <w:tcMar>
              <w:top w:type="dxa" w:w="75"/>
              <w:left w:type="dxa" w:w="100"/>
              <w:bottom w:type="dxa" w:w="75"/>
              <w:right w:type="dxa" w:w="100"/>
            </w:tcMar>
          </w:tcPr>
          <w:p>
            <w:r>
              <w:rPr>
                <w:rFonts w:ascii="Arial" w:cs="Arial" w:eastAsia="Arial" w:hAnsi="Arial"/>
                <w:color w:val="1A1A1A"/>
                <w:sz w:val="20"/>
                <w:szCs w:val="20"/>
              </w:rPr>
              <w:t xml:space="preserve">2d</w:t>
            </w:r>
          </w:p>
        </w:tc>
      </w:tr>
      <w:tr>
        <w:tc>
          <w:tcPr>
            <w:tcW w:type="dxa" w:w="6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T-08: Anthropic Adapter</w:t>
            </w:r>
          </w:p>
        </w:tc>
        <w:tc>
          <w:tcPr>
            <w:tcW w:type="dxa" w:w="30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T-11, T-14, T-18</w:t>
            </w:r>
          </w:p>
        </w:tc>
        <w:tc>
          <w:tcPr>
            <w:tcW w:type="dxa" w:w="336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2d</w:t>
            </w:r>
          </w:p>
        </w:tc>
      </w:tr>
      <w:tr>
        <w:tc>
          <w:tcPr>
            <w:tcW w:type="dxa" w:w="600"/>
            <w:tcBorders>
              <w:top w:val="single" w:color="CCCCCC" w:sz="1"/>
              <w:left w:val="single" w:color="CCCCCC" w:sz="1"/>
              <w:bottom w:val="single" w:color="CCCCCC" w:sz="1"/>
              <w:right w:val="single" w:color="CCCCCC" w:sz="1"/>
            </w:tcBorders>
            <w:shd w:fill="F5F5F5" w:val="clear"/>
            <w:tcMar>
              <w:top w:type="dxa" w:w="75"/>
              <w:left w:type="dxa" w:w="100"/>
              <w:bottom w:type="dxa" w:w="75"/>
              <w:right w:type="dxa" w:w="100"/>
            </w:tcMar>
          </w:tcPr>
          <w:p>
            <w:r>
              <w:rPr>
                <w:rFonts w:ascii="Arial" w:cs="Arial" w:eastAsia="Arial" w:hAnsi="Arial"/>
                <w:color w:val="1A1A1A"/>
                <w:sz w:val="20"/>
                <w:szCs w:val="20"/>
              </w:rPr>
              <w:t xml:space="preserve">6</w:t>
            </w:r>
          </w:p>
        </w:tc>
        <w:tc>
          <w:tcPr>
            <w:tcW w:type="dxa" w:w="2400"/>
            <w:tcBorders>
              <w:top w:val="single" w:color="CCCCCC" w:sz="1"/>
              <w:left w:val="single" w:color="CCCCCC" w:sz="1"/>
              <w:bottom w:val="single" w:color="CCCCCC" w:sz="1"/>
              <w:right w:val="single" w:color="CCCCCC" w:sz="1"/>
            </w:tcBorders>
            <w:shd w:fill="F5F5F5" w:val="clear"/>
            <w:tcMar>
              <w:top w:type="dxa" w:w="75"/>
              <w:left w:type="dxa" w:w="100"/>
              <w:bottom w:type="dxa" w:w="75"/>
              <w:right w:type="dxa" w:w="100"/>
            </w:tcMar>
          </w:tcPr>
          <w:p>
            <w:r>
              <w:rPr>
                <w:rFonts w:ascii="Arial" w:cs="Arial" w:eastAsia="Arial" w:hAnsi="Arial"/>
                <w:color w:val="1A1A1A"/>
                <w:sz w:val="20"/>
                <w:szCs w:val="20"/>
              </w:rPr>
              <w:t xml:space="preserve">T-09+T-10: OpenAI+Gemini Adapters (parallel with T-08)</w:t>
            </w:r>
          </w:p>
        </w:tc>
        <w:tc>
          <w:tcPr>
            <w:tcW w:type="dxa" w:w="3000"/>
            <w:tcBorders>
              <w:top w:val="single" w:color="CCCCCC" w:sz="1"/>
              <w:left w:val="single" w:color="CCCCCC" w:sz="1"/>
              <w:bottom w:val="single" w:color="CCCCCC" w:sz="1"/>
              <w:right w:val="single" w:color="CCCCCC" w:sz="1"/>
            </w:tcBorders>
            <w:shd w:fill="F5F5F5" w:val="clear"/>
            <w:tcMar>
              <w:top w:type="dxa" w:w="75"/>
              <w:left w:type="dxa" w:w="100"/>
              <w:bottom w:type="dxa" w:w="75"/>
              <w:right w:type="dxa" w:w="100"/>
            </w:tcMar>
          </w:tcPr>
          <w:p>
            <w:r>
              <w:rPr>
                <w:rFonts w:ascii="Arial" w:cs="Arial" w:eastAsia="Arial" w:hAnsi="Arial"/>
                <w:color w:val="1A1A1A"/>
                <w:sz w:val="20"/>
                <w:szCs w:val="20"/>
              </w:rPr>
              <w:t xml:space="preserve">Same as above</w:t>
            </w:r>
          </w:p>
        </w:tc>
        <w:tc>
          <w:tcPr>
            <w:tcW w:type="dxa" w:w="3360"/>
            <w:tcBorders>
              <w:top w:val="single" w:color="CCCCCC" w:sz="1"/>
              <w:left w:val="single" w:color="CCCCCC" w:sz="1"/>
              <w:bottom w:val="single" w:color="CCCCCC" w:sz="1"/>
              <w:right w:val="single" w:color="CCCCCC" w:sz="1"/>
            </w:tcBorders>
            <w:shd w:fill="F5F5F5" w:val="clear"/>
            <w:tcMar>
              <w:top w:type="dxa" w:w="75"/>
              <w:left w:type="dxa" w:w="100"/>
              <w:bottom w:type="dxa" w:w="75"/>
              <w:right w:type="dxa" w:w="100"/>
            </w:tcMar>
          </w:tcPr>
          <w:p>
            <w:r>
              <w:rPr>
                <w:rFonts w:ascii="Arial" w:cs="Arial" w:eastAsia="Arial" w:hAnsi="Arial"/>
                <w:color w:val="1A1A1A"/>
                <w:sz w:val="20"/>
                <w:szCs w:val="20"/>
              </w:rPr>
              <w:t xml:space="preserve">2d</w:t>
            </w:r>
          </w:p>
        </w:tc>
      </w:tr>
      <w:tr>
        <w:tc>
          <w:tcPr>
            <w:tcW w:type="dxa" w:w="6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T-11: Conversation Manager Core</w:t>
            </w:r>
          </w:p>
        </w:tc>
        <w:tc>
          <w:tcPr>
            <w:tcW w:type="dxa" w:w="30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T-12, T-13, T-19</w:t>
            </w:r>
          </w:p>
        </w:tc>
        <w:tc>
          <w:tcPr>
            <w:tcW w:type="dxa" w:w="336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2d</w:t>
            </w:r>
          </w:p>
        </w:tc>
      </w:tr>
      <w:tr>
        <w:tc>
          <w:tcPr>
            <w:tcW w:type="dxa" w:w="600"/>
            <w:tcBorders>
              <w:top w:val="single" w:color="CCCCCC" w:sz="1"/>
              <w:left w:val="single" w:color="CCCCCC" w:sz="1"/>
              <w:bottom w:val="single" w:color="CCCCCC" w:sz="1"/>
              <w:right w:val="single" w:color="CCCCCC" w:sz="1"/>
            </w:tcBorders>
            <w:shd w:fill="F5F5F5" w:val="clear"/>
            <w:tcMar>
              <w:top w:type="dxa" w:w="75"/>
              <w:left w:type="dxa" w:w="100"/>
              <w:bottom w:type="dxa" w:w="75"/>
              <w:right w:type="dxa" w:w="100"/>
            </w:tcMar>
          </w:tcPr>
          <w:p>
            <w:r>
              <w:rPr>
                <w:rFonts w:ascii="Arial" w:cs="Arial" w:eastAsia="Arial" w:hAnsi="Arial"/>
                <w:color w:val="1A1A1A"/>
                <w:sz w:val="20"/>
                <w:szCs w:val="20"/>
              </w:rPr>
              <w:t xml:space="preserve">8</w:t>
            </w:r>
          </w:p>
        </w:tc>
        <w:tc>
          <w:tcPr>
            <w:tcW w:type="dxa" w:w="2400"/>
            <w:tcBorders>
              <w:top w:val="single" w:color="CCCCCC" w:sz="1"/>
              <w:left w:val="single" w:color="CCCCCC" w:sz="1"/>
              <w:bottom w:val="single" w:color="CCCCCC" w:sz="1"/>
              <w:right w:val="single" w:color="CCCCCC" w:sz="1"/>
            </w:tcBorders>
            <w:shd w:fill="F5F5F5" w:val="clear"/>
            <w:tcMar>
              <w:top w:type="dxa" w:w="75"/>
              <w:left w:type="dxa" w:w="100"/>
              <w:bottom w:type="dxa" w:w="75"/>
              <w:right w:type="dxa" w:w="100"/>
            </w:tcMar>
          </w:tcPr>
          <w:p>
            <w:r>
              <w:rPr>
                <w:rFonts w:ascii="Arial" w:cs="Arial" w:eastAsia="Arial" w:hAnsi="Arial"/>
                <w:color w:val="1A1A1A"/>
                <w:sz w:val="20"/>
                <w:szCs w:val="20"/>
              </w:rPr>
              <w:t xml:space="preserve">T-12: Context Window Mgmt</w:t>
            </w:r>
          </w:p>
        </w:tc>
        <w:tc>
          <w:tcPr>
            <w:tcW w:type="dxa" w:w="3000"/>
            <w:tcBorders>
              <w:top w:val="single" w:color="CCCCCC" w:sz="1"/>
              <w:left w:val="single" w:color="CCCCCC" w:sz="1"/>
              <w:bottom w:val="single" w:color="CCCCCC" w:sz="1"/>
              <w:right w:val="single" w:color="CCCCCC" w:sz="1"/>
            </w:tcBorders>
            <w:shd w:fill="F5F5F5" w:val="clear"/>
            <w:tcMar>
              <w:top w:type="dxa" w:w="75"/>
              <w:left w:type="dxa" w:w="100"/>
              <w:bottom w:type="dxa" w:w="75"/>
              <w:right w:type="dxa" w:w="100"/>
            </w:tcMar>
          </w:tcPr>
          <w:p>
            <w:r>
              <w:rPr>
                <w:rFonts w:ascii="Arial" w:cs="Arial" w:eastAsia="Arial" w:hAnsi="Arial"/>
                <w:color w:val="1A1A1A"/>
                <w:sz w:val="20"/>
                <w:szCs w:val="20"/>
              </w:rPr>
              <w:t xml:space="preserve">T-19</w:t>
            </w:r>
          </w:p>
        </w:tc>
        <w:tc>
          <w:tcPr>
            <w:tcW w:type="dxa" w:w="3360"/>
            <w:tcBorders>
              <w:top w:val="single" w:color="CCCCCC" w:sz="1"/>
              <w:left w:val="single" w:color="CCCCCC" w:sz="1"/>
              <w:bottom w:val="single" w:color="CCCCCC" w:sz="1"/>
              <w:right w:val="single" w:color="CCCCCC" w:sz="1"/>
            </w:tcBorders>
            <w:shd w:fill="F5F5F5" w:val="clear"/>
            <w:tcMar>
              <w:top w:type="dxa" w:w="75"/>
              <w:left w:type="dxa" w:w="100"/>
              <w:bottom w:type="dxa" w:w="75"/>
              <w:right w:type="dxa" w:w="100"/>
            </w:tcMar>
          </w:tcPr>
          <w:p>
            <w:r>
              <w:rPr>
                <w:rFonts w:ascii="Arial" w:cs="Arial" w:eastAsia="Arial" w:hAnsi="Arial"/>
                <w:color w:val="1A1A1A"/>
                <w:sz w:val="20"/>
                <w:szCs w:val="20"/>
              </w:rPr>
              <w:t xml:space="preserve">1.5d</w:t>
            </w:r>
          </w:p>
        </w:tc>
      </w:tr>
      <w:tr>
        <w:tc>
          <w:tcPr>
            <w:tcW w:type="dxa" w:w="6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T-13: Session Store</w:t>
            </w:r>
          </w:p>
        </w:tc>
        <w:tc>
          <w:tcPr>
            <w:tcW w:type="dxa" w:w="30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T-19</w:t>
            </w:r>
          </w:p>
        </w:tc>
        <w:tc>
          <w:tcPr>
            <w:tcW w:type="dxa" w:w="336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1d</w:t>
            </w:r>
          </w:p>
        </w:tc>
      </w:tr>
      <w:tr>
        <w:tc>
          <w:tcPr>
            <w:tcW w:type="dxa" w:w="600"/>
            <w:tcBorders>
              <w:top w:val="single" w:color="CCCCCC" w:sz="1"/>
              <w:left w:val="single" w:color="CCCCCC" w:sz="1"/>
              <w:bottom w:val="single" w:color="CCCCCC" w:sz="1"/>
              <w:right w:val="single" w:color="CCCCCC" w:sz="1"/>
            </w:tcBorders>
            <w:shd w:fill="F5F5F5" w:val="clear"/>
            <w:tcMar>
              <w:top w:type="dxa" w:w="75"/>
              <w:left w:type="dxa" w:w="100"/>
              <w:bottom w:type="dxa" w:w="75"/>
              <w:right w:type="dxa" w:w="100"/>
            </w:tcMar>
          </w:tcPr>
          <w:p>
            <w:r>
              <w:rPr>
                <w:rFonts w:ascii="Arial" w:cs="Arial" w:eastAsia="Arial" w:hAnsi="Arial"/>
                <w:color w:val="1A1A1A"/>
                <w:sz w:val="20"/>
                <w:szCs w:val="20"/>
              </w:rPr>
              <w:t xml:space="preserve">10</w:t>
            </w:r>
          </w:p>
        </w:tc>
        <w:tc>
          <w:tcPr>
            <w:tcW w:type="dxa" w:w="2400"/>
            <w:tcBorders>
              <w:top w:val="single" w:color="CCCCCC" w:sz="1"/>
              <w:left w:val="single" w:color="CCCCCC" w:sz="1"/>
              <w:bottom w:val="single" w:color="CCCCCC" w:sz="1"/>
              <w:right w:val="single" w:color="CCCCCC" w:sz="1"/>
            </w:tcBorders>
            <w:shd w:fill="F5F5F5" w:val="clear"/>
            <w:tcMar>
              <w:top w:type="dxa" w:w="75"/>
              <w:left w:type="dxa" w:w="100"/>
              <w:bottom w:type="dxa" w:w="75"/>
              <w:right w:type="dxa" w:w="100"/>
            </w:tcMar>
          </w:tcPr>
          <w:p>
            <w:r>
              <w:rPr>
                <w:rFonts w:ascii="Arial" w:cs="Arial" w:eastAsia="Arial" w:hAnsi="Arial"/>
                <w:color w:val="1A1A1A"/>
                <w:sz w:val="20"/>
                <w:szCs w:val="20"/>
              </w:rPr>
              <w:t xml:space="preserve">T-14: Tool System</w:t>
            </w:r>
          </w:p>
        </w:tc>
        <w:tc>
          <w:tcPr>
            <w:tcW w:type="dxa" w:w="3000"/>
            <w:tcBorders>
              <w:top w:val="single" w:color="CCCCCC" w:sz="1"/>
              <w:left w:val="single" w:color="CCCCCC" w:sz="1"/>
              <w:bottom w:val="single" w:color="CCCCCC" w:sz="1"/>
              <w:right w:val="single" w:color="CCCCCC" w:sz="1"/>
            </w:tcBorders>
            <w:shd w:fill="F5F5F5" w:val="clear"/>
            <w:tcMar>
              <w:top w:type="dxa" w:w="75"/>
              <w:left w:type="dxa" w:w="100"/>
              <w:bottom w:type="dxa" w:w="75"/>
              <w:right w:type="dxa" w:w="100"/>
            </w:tcMar>
          </w:tcPr>
          <w:p>
            <w:r>
              <w:rPr>
                <w:rFonts w:ascii="Arial" w:cs="Arial" w:eastAsia="Arial" w:hAnsi="Arial"/>
                <w:color w:val="1A1A1A"/>
                <w:sz w:val="20"/>
                <w:szCs w:val="20"/>
              </w:rPr>
              <w:t xml:space="preserve">T-18</w:t>
            </w:r>
          </w:p>
        </w:tc>
        <w:tc>
          <w:tcPr>
            <w:tcW w:type="dxa" w:w="3360"/>
            <w:tcBorders>
              <w:top w:val="single" w:color="CCCCCC" w:sz="1"/>
              <w:left w:val="single" w:color="CCCCCC" w:sz="1"/>
              <w:bottom w:val="single" w:color="CCCCCC" w:sz="1"/>
              <w:right w:val="single" w:color="CCCCCC" w:sz="1"/>
            </w:tcBorders>
            <w:shd w:fill="F5F5F5" w:val="clear"/>
            <w:tcMar>
              <w:top w:type="dxa" w:w="75"/>
              <w:left w:type="dxa" w:w="100"/>
              <w:bottom w:type="dxa" w:w="75"/>
              <w:right w:type="dxa" w:w="100"/>
            </w:tcMar>
          </w:tcPr>
          <w:p>
            <w:r>
              <w:rPr>
                <w:rFonts w:ascii="Arial" w:cs="Arial" w:eastAsia="Arial" w:hAnsi="Arial"/>
                <w:color w:val="1A1A1A"/>
                <w:sz w:val="20"/>
                <w:szCs w:val="20"/>
              </w:rPr>
              <w:t xml:space="preserve">2d</w:t>
            </w:r>
          </w:p>
        </w:tc>
      </w:tr>
      <w:tr>
        <w:tc>
          <w:tcPr>
            <w:tcW w:type="dxa" w:w="6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11</w:t>
            </w:r>
          </w:p>
        </w:tc>
        <w:tc>
          <w:tcPr>
            <w:tcW w:type="dxa" w:w="24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T-15: Streaming System</w:t>
            </w:r>
          </w:p>
        </w:tc>
        <w:tc>
          <w:tcPr>
            <w:tcW w:type="dxa" w:w="30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T-18</w:t>
            </w:r>
          </w:p>
        </w:tc>
        <w:tc>
          <w:tcPr>
            <w:tcW w:type="dxa" w:w="336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1.5d</w:t>
            </w:r>
          </w:p>
        </w:tc>
      </w:tr>
      <w:tr>
        <w:tc>
          <w:tcPr>
            <w:tcW w:type="dxa" w:w="600"/>
            <w:tcBorders>
              <w:top w:val="single" w:color="CCCCCC" w:sz="1"/>
              <w:left w:val="single" w:color="CCCCCC" w:sz="1"/>
              <w:bottom w:val="single" w:color="CCCCCC" w:sz="1"/>
              <w:right w:val="single" w:color="CCCCCC" w:sz="1"/>
            </w:tcBorders>
            <w:shd w:fill="F5F5F5" w:val="clear"/>
            <w:tcMar>
              <w:top w:type="dxa" w:w="75"/>
              <w:left w:type="dxa" w:w="100"/>
              <w:bottom w:type="dxa" w:w="75"/>
              <w:right w:type="dxa" w:w="100"/>
            </w:tcMar>
          </w:tcPr>
          <w:p>
            <w:r>
              <w:rPr>
                <w:rFonts w:ascii="Arial" w:cs="Arial" w:eastAsia="Arial" w:hAnsi="Arial"/>
                <w:color w:val="1A1A1A"/>
                <w:sz w:val="20"/>
                <w:szCs w:val="20"/>
              </w:rPr>
              <w:t xml:space="preserve">12</w:t>
            </w:r>
          </w:p>
        </w:tc>
        <w:tc>
          <w:tcPr>
            <w:tcW w:type="dxa" w:w="2400"/>
            <w:tcBorders>
              <w:top w:val="single" w:color="CCCCCC" w:sz="1"/>
              <w:left w:val="single" w:color="CCCCCC" w:sz="1"/>
              <w:bottom w:val="single" w:color="CCCCCC" w:sz="1"/>
              <w:right w:val="single" w:color="CCCCCC" w:sz="1"/>
            </w:tcBorders>
            <w:shd w:fill="F5F5F5" w:val="clear"/>
            <w:tcMar>
              <w:top w:type="dxa" w:w="75"/>
              <w:left w:type="dxa" w:w="100"/>
              <w:bottom w:type="dxa" w:w="75"/>
              <w:right w:type="dxa" w:w="100"/>
            </w:tcMar>
          </w:tcPr>
          <w:p>
            <w:r>
              <w:rPr>
                <w:rFonts w:ascii="Arial" w:cs="Arial" w:eastAsia="Arial" w:hAnsi="Arial"/>
                <w:color w:val="1A1A1A"/>
                <w:sz w:val="20"/>
                <w:szCs w:val="20"/>
              </w:rPr>
              <w:t xml:space="preserve">T-16: Model Router</w:t>
            </w:r>
          </w:p>
        </w:tc>
        <w:tc>
          <w:tcPr>
            <w:tcW w:type="dxa" w:w="3000"/>
            <w:tcBorders>
              <w:top w:val="single" w:color="CCCCCC" w:sz="1"/>
              <w:left w:val="single" w:color="CCCCCC" w:sz="1"/>
              <w:bottom w:val="single" w:color="CCCCCC" w:sz="1"/>
              <w:right w:val="single" w:color="CCCCCC" w:sz="1"/>
            </w:tcBorders>
            <w:shd w:fill="F5F5F5" w:val="clear"/>
            <w:tcMar>
              <w:top w:type="dxa" w:w="75"/>
              <w:left w:type="dxa" w:w="100"/>
              <w:bottom w:type="dxa" w:w="75"/>
              <w:right w:type="dxa" w:w="100"/>
            </w:tcMar>
          </w:tcPr>
          <w:p>
            <w:r>
              <w:rPr>
                <w:rFonts w:ascii="Arial" w:cs="Arial" w:eastAsia="Arial" w:hAnsi="Arial"/>
                <w:color w:val="1A1A1A"/>
                <w:sz w:val="20"/>
                <w:szCs w:val="20"/>
              </w:rPr>
              <w:t xml:space="preserve">T-18</w:t>
            </w:r>
          </w:p>
        </w:tc>
        <w:tc>
          <w:tcPr>
            <w:tcW w:type="dxa" w:w="3360"/>
            <w:tcBorders>
              <w:top w:val="single" w:color="CCCCCC" w:sz="1"/>
              <w:left w:val="single" w:color="CCCCCC" w:sz="1"/>
              <w:bottom w:val="single" w:color="CCCCCC" w:sz="1"/>
              <w:right w:val="single" w:color="CCCCCC" w:sz="1"/>
            </w:tcBorders>
            <w:shd w:fill="F5F5F5" w:val="clear"/>
            <w:tcMar>
              <w:top w:type="dxa" w:w="75"/>
              <w:left w:type="dxa" w:w="100"/>
              <w:bottom w:type="dxa" w:w="75"/>
              <w:right w:type="dxa" w:w="100"/>
            </w:tcMar>
          </w:tcPr>
          <w:p>
            <w:r>
              <w:rPr>
                <w:rFonts w:ascii="Arial" w:cs="Arial" w:eastAsia="Arial" w:hAnsi="Arial"/>
                <w:color w:val="1A1A1A"/>
                <w:sz w:val="20"/>
                <w:szCs w:val="20"/>
              </w:rPr>
              <w:t xml:space="preserve">1d</w:t>
            </w:r>
          </w:p>
        </w:tc>
      </w:tr>
      <w:tr>
        <w:tc>
          <w:tcPr>
            <w:tcW w:type="dxa" w:w="6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13</w:t>
            </w:r>
          </w:p>
        </w:tc>
        <w:tc>
          <w:tcPr>
            <w:tcW w:type="dxa" w:w="24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T-17: Cost Tracking</w:t>
            </w:r>
          </w:p>
        </w:tc>
        <w:tc>
          <w:tcPr>
            <w:tcW w:type="dxa" w:w="30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T-18</w:t>
            </w:r>
          </w:p>
        </w:tc>
        <w:tc>
          <w:tcPr>
            <w:tcW w:type="dxa" w:w="336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1.5d</w:t>
            </w:r>
          </w:p>
        </w:tc>
      </w:tr>
      <w:tr>
        <w:tc>
          <w:tcPr>
            <w:tcW w:type="dxa" w:w="600"/>
            <w:tcBorders>
              <w:top w:val="single" w:color="CCCCCC" w:sz="1"/>
              <w:left w:val="single" w:color="CCCCCC" w:sz="1"/>
              <w:bottom w:val="single" w:color="CCCCCC" w:sz="1"/>
              <w:right w:val="single" w:color="CCCCCC" w:sz="1"/>
            </w:tcBorders>
            <w:shd w:fill="F5F5F5" w:val="clear"/>
            <w:tcMar>
              <w:top w:type="dxa" w:w="75"/>
              <w:left w:type="dxa" w:w="100"/>
              <w:bottom w:type="dxa" w:w="75"/>
              <w:right w:type="dxa" w:w="100"/>
            </w:tcMar>
          </w:tcPr>
          <w:p>
            <w:r>
              <w:rPr>
                <w:rFonts w:ascii="Arial" w:cs="Arial" w:eastAsia="Arial" w:hAnsi="Arial"/>
                <w:color w:val="1A1A1A"/>
                <w:sz w:val="20"/>
                <w:szCs w:val="20"/>
              </w:rPr>
              <w:t xml:space="preserve">14</w:t>
            </w:r>
          </w:p>
        </w:tc>
        <w:tc>
          <w:tcPr>
            <w:tcW w:type="dxa" w:w="2400"/>
            <w:tcBorders>
              <w:top w:val="single" w:color="CCCCCC" w:sz="1"/>
              <w:left w:val="single" w:color="CCCCCC" w:sz="1"/>
              <w:bottom w:val="single" w:color="CCCCCC" w:sz="1"/>
              <w:right w:val="single" w:color="CCCCCC" w:sz="1"/>
            </w:tcBorders>
            <w:shd w:fill="F5F5F5" w:val="clear"/>
            <w:tcMar>
              <w:top w:type="dxa" w:w="75"/>
              <w:left w:type="dxa" w:w="100"/>
              <w:bottom w:type="dxa" w:w="75"/>
              <w:right w:type="dxa" w:w="100"/>
            </w:tcMar>
          </w:tcPr>
          <w:p>
            <w:r>
              <w:rPr>
                <w:rFonts w:ascii="Arial" w:cs="Arial" w:eastAsia="Arial" w:hAnsi="Arial"/>
                <w:color w:val="1A1A1A"/>
                <w:sz w:val="20"/>
                <w:szCs w:val="20"/>
              </w:rPr>
              <w:t xml:space="preserve">T-18: LLMClient Public API</w:t>
            </w:r>
          </w:p>
        </w:tc>
        <w:tc>
          <w:tcPr>
            <w:tcW w:type="dxa" w:w="3000"/>
            <w:tcBorders>
              <w:top w:val="single" w:color="CCCCCC" w:sz="1"/>
              <w:left w:val="single" w:color="CCCCCC" w:sz="1"/>
              <w:bottom w:val="single" w:color="CCCCCC" w:sz="1"/>
              <w:right w:val="single" w:color="CCCCCC" w:sz="1"/>
            </w:tcBorders>
            <w:shd w:fill="F5F5F5" w:val="clear"/>
            <w:tcMar>
              <w:top w:type="dxa" w:w="75"/>
              <w:left w:type="dxa" w:w="100"/>
              <w:bottom w:type="dxa" w:w="75"/>
              <w:right w:type="dxa" w:w="100"/>
            </w:tcMar>
          </w:tcPr>
          <w:p>
            <w:r>
              <w:rPr>
                <w:rFonts w:ascii="Arial" w:cs="Arial" w:eastAsia="Arial" w:hAnsi="Arial"/>
                <w:color w:val="1A1A1A"/>
                <w:sz w:val="20"/>
                <w:szCs w:val="20"/>
              </w:rPr>
              <w:t xml:space="preserve">T-19, T-21, T-22</w:t>
            </w:r>
          </w:p>
        </w:tc>
        <w:tc>
          <w:tcPr>
            <w:tcW w:type="dxa" w:w="3360"/>
            <w:tcBorders>
              <w:top w:val="single" w:color="CCCCCC" w:sz="1"/>
              <w:left w:val="single" w:color="CCCCCC" w:sz="1"/>
              <w:bottom w:val="single" w:color="CCCCCC" w:sz="1"/>
              <w:right w:val="single" w:color="CCCCCC" w:sz="1"/>
            </w:tcBorders>
            <w:shd w:fill="F5F5F5" w:val="clear"/>
            <w:tcMar>
              <w:top w:type="dxa" w:w="75"/>
              <w:left w:type="dxa" w:w="100"/>
              <w:bottom w:type="dxa" w:w="75"/>
              <w:right w:type="dxa" w:w="100"/>
            </w:tcMar>
          </w:tcPr>
          <w:p>
            <w:r>
              <w:rPr>
                <w:rFonts w:ascii="Arial" w:cs="Arial" w:eastAsia="Arial" w:hAnsi="Arial"/>
                <w:color w:val="1A1A1A"/>
                <w:sz w:val="20"/>
                <w:szCs w:val="20"/>
              </w:rPr>
              <w:t xml:space="preserve">1d</w:t>
            </w:r>
          </w:p>
        </w:tc>
      </w:tr>
      <w:tr>
        <w:tc>
          <w:tcPr>
            <w:tcW w:type="dxa" w:w="6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15</w:t>
            </w:r>
          </w:p>
        </w:tc>
        <w:tc>
          <w:tcPr>
            <w:tcW w:type="dxa" w:w="24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T-19: Session API</w:t>
            </w:r>
          </w:p>
        </w:tc>
        <w:tc>
          <w:tcPr>
            <w:tcW w:type="dxa" w:w="30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T-20, T-21</w:t>
            </w:r>
          </w:p>
        </w:tc>
        <w:tc>
          <w:tcPr>
            <w:tcW w:type="dxa" w:w="336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color w:val="1A1A1A"/>
                <w:sz w:val="20"/>
                <w:szCs w:val="20"/>
              </w:rPr>
              <w:t xml:space="preserve">2d</w:t>
            </w:r>
          </w:p>
        </w:tc>
      </w:tr>
      <w:tr>
        <w:tc>
          <w:tcPr>
            <w:tcW w:type="dxa" w:w="600"/>
            <w:tcBorders>
              <w:top w:val="single" w:color="CCCCCC" w:sz="1"/>
              <w:left w:val="single" w:color="CCCCCC" w:sz="1"/>
              <w:bottom w:val="single" w:color="CCCCCC" w:sz="1"/>
              <w:right w:val="single" w:color="CCCCCC" w:sz="1"/>
            </w:tcBorders>
            <w:shd w:fill="F5F5F5" w:val="clear"/>
            <w:tcMar>
              <w:top w:type="dxa" w:w="75"/>
              <w:left w:type="dxa" w:w="100"/>
              <w:bottom w:type="dxa" w:w="75"/>
              <w:right w:type="dxa" w:w="100"/>
            </w:tcMar>
          </w:tcPr>
          <w:p>
            <w:r>
              <w:rPr>
                <w:rFonts w:ascii="Arial" w:cs="Arial" w:eastAsia="Arial" w:hAnsi="Arial"/>
                <w:color w:val="1A1A1A"/>
                <w:sz w:val="20"/>
                <w:szCs w:val="20"/>
              </w:rPr>
              <w:t xml:space="preserve">16</w:t>
            </w:r>
          </w:p>
        </w:tc>
        <w:tc>
          <w:tcPr>
            <w:tcW w:type="dxa" w:w="2400"/>
            <w:tcBorders>
              <w:top w:val="single" w:color="CCCCCC" w:sz="1"/>
              <w:left w:val="single" w:color="CCCCCC" w:sz="1"/>
              <w:bottom w:val="single" w:color="CCCCCC" w:sz="1"/>
              <w:right w:val="single" w:color="CCCCCC" w:sz="1"/>
            </w:tcBorders>
            <w:shd w:fill="F5F5F5" w:val="clear"/>
            <w:tcMar>
              <w:top w:type="dxa" w:w="75"/>
              <w:left w:type="dxa" w:w="100"/>
              <w:bottom w:type="dxa" w:w="75"/>
              <w:right w:type="dxa" w:w="100"/>
            </w:tcMar>
          </w:tcPr>
          <w:p>
            <w:r>
              <w:rPr>
                <w:rFonts w:ascii="Arial" w:cs="Arial" w:eastAsia="Arial" w:hAnsi="Arial"/>
                <w:color w:val="1A1A1A"/>
                <w:sz w:val="20"/>
                <w:szCs w:val="20"/>
              </w:rPr>
              <w:t xml:space="preserve">T-21–T-23: Test + Docs + Perf (parallel)</w:t>
            </w:r>
          </w:p>
        </w:tc>
        <w:tc>
          <w:tcPr>
            <w:tcW w:type="dxa" w:w="3000"/>
            <w:tcBorders>
              <w:top w:val="single" w:color="CCCCCC" w:sz="1"/>
              <w:left w:val="single" w:color="CCCCCC" w:sz="1"/>
              <w:bottom w:val="single" w:color="CCCCCC" w:sz="1"/>
              <w:right w:val="single" w:color="CCCCCC" w:sz="1"/>
            </w:tcBorders>
            <w:shd w:fill="F5F5F5" w:val="clear"/>
            <w:tcMar>
              <w:top w:type="dxa" w:w="75"/>
              <w:left w:type="dxa" w:w="100"/>
              <w:bottom w:type="dxa" w:w="75"/>
              <w:right w:type="dxa" w:w="100"/>
            </w:tcMar>
          </w:tcPr>
          <w:p>
            <w:r>
              <w:rPr>
                <w:rFonts w:ascii="Arial" w:cs="Arial" w:eastAsia="Arial" w:hAnsi="Arial"/>
                <w:color w:val="1A1A1A"/>
                <w:sz w:val="20"/>
                <w:szCs w:val="20"/>
              </w:rPr>
              <w:t xml:space="preserve">Ship</w:t>
            </w:r>
          </w:p>
        </w:tc>
        <w:tc>
          <w:tcPr>
            <w:tcW w:type="dxa" w:w="3360"/>
            <w:tcBorders>
              <w:top w:val="single" w:color="CCCCCC" w:sz="1"/>
              <w:left w:val="single" w:color="CCCCCC" w:sz="1"/>
              <w:bottom w:val="single" w:color="CCCCCC" w:sz="1"/>
              <w:right w:val="single" w:color="CCCCCC" w:sz="1"/>
            </w:tcBorders>
            <w:shd w:fill="F5F5F5" w:val="clear"/>
            <w:tcMar>
              <w:top w:type="dxa" w:w="75"/>
              <w:left w:type="dxa" w:w="100"/>
              <w:bottom w:type="dxa" w:w="75"/>
              <w:right w:type="dxa" w:w="100"/>
            </w:tcMar>
          </w:tcPr>
          <w:p>
            <w:r>
              <w:rPr>
                <w:rFonts w:ascii="Arial" w:cs="Arial" w:eastAsia="Arial" w:hAnsi="Arial"/>
                <w:color w:val="1A1A1A"/>
                <w:sz w:val="20"/>
                <w:szCs w:val="20"/>
              </w:rPr>
              <w:t xml:space="preserve">5d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10"/>
              <w:left w:type="dxa" w:w="180"/>
              <w:bottom w:type="dxa" w:w="110"/>
              <w:right w:type="dxa" w:w="180"/>
            </w:tcMar>
          </w:tcPr>
          <w:p>
            <w:pPr>
              <w:spacing w:after="40" w:before="0"/>
            </w:pPr>
            <w:r>
              <w:rPr>
                <w:rFonts w:ascii="Arial" w:cs="Arial" w:eastAsia="Arial" w:hAnsi="Arial"/>
                <w:b/>
                <w:bCs/>
                <w:color w:val="1F4E79"/>
                <w:sz w:val="22"/>
                <w:szCs w:val="22"/>
              </w:rPr>
              <w:t xml:space="preserve">Parallelisation Opportunities</w:t>
            </w:r>
          </w:p>
          <w:p>
            <w:pPr>
              <w:spacing w:after="0" w:before="0"/>
            </w:pPr>
            <w:r>
              <w:rPr>
                <w:rFonts w:ascii="Arial" w:cs="Arial" w:eastAsia="Arial" w:hAnsi="Arial"/>
                <w:color w:val="1A1A1A"/>
                <w:sz w:val="22"/>
                <w:szCs w:val="22"/>
              </w:rPr>
              <w:t xml:space="preserve">T-08, T-09, T-10 (provider adapters) can all be built simultaneously by different engineers — they share the same interface (T-02) but have no code dependencies on each other. Similarly T-04/T-05/T-06/T-07 (utilities) can be built in parallel. T-21/T-22/T-23 (testing, docs, perf) can run concurrently at the end.</w:t>
            </w:r>
          </w:p>
        </w:tc>
      </w:tr>
    </w:tbl>
    <w:p>
      <w:pPr>
        <w:spacing w:after="0" w:before="80"/>
      </w:pPr>
      <w:r>
        <w:t xml:space="preserve"/>
      </w:r>
    </w:p>
    <w:p>
      <w:pPr>
        <w:spacing w:after="40" w:before="120"/>
        <w:jc w:val="center"/>
      </w:pPr>
      <w:r>
        <w:rPr>
          <w:rFonts w:ascii="Arial" w:cs="Arial" w:eastAsia="Arial" w:hAnsi="Arial"/>
          <w:i/>
          <w:iCs/>
          <w:color w:val="999999"/>
          <w:sz w:val="18"/>
          <w:szCs w:val="18"/>
        </w:rPr>
        <w:t xml:space="preserve">[LIB NAME] Implementation Task Report  ·  v1.0  ·  April 2026  ·  CONFIDENTIAL</w:t>
      </w:r>
    </w:p>
    <w:sectPr>
      <w:headerReference w:type="default" r:id="rId7"/>
      <w:footerReference w:type="default" r:id="rId8"/>
      <w:pgSz w:w="12240" w:h="15840" w:orient="portrait"/>
      <w:pgMar w:top="1260" w:right="1080" w:bottom="126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10080"/>
      </w:tabs>
    </w:pPr>
    <w:r>
      <w:rPr>
        <w:rFonts w:ascii="Arial" w:cs="Arial" w:eastAsia="Arial" w:hAnsi="Arial"/>
        <w:color w:val="888888"/>
        <w:sz w:val="18"/>
        <w:szCs w:val="18"/>
      </w:rPr>
      <w:t xml:space="preserve">[LIB NAME] — Implementation Task Report  |  v1.0  |  April 2026</w:t>
    </w:r>
    <w:r>
      <w:rPr>
        <w:rFonts w:ascii="Arial" w:cs="Arial" w:eastAsia="Arial" w:hAnsi="Arial"/>
        <w:b/>
        <w:bCs/>
        <w:color w:val="B71C1C"/>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42424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2026-04-15T09:22:02.531Z</dcterms:created>
  <dcterms:modified xsi:type="dcterms:W3CDTF">2026-04-15T09:22:02.531Z</dcterms:modified>
</cp:coreProperties>
</file>

<file path=docProps/custom.xml><?xml version="1.0" encoding="utf-8"?>
<Properties xmlns="http://schemas.openxmlformats.org/officeDocument/2006/custom-properties" xmlns:vt="http://schemas.openxmlformats.org/officeDocument/2006/docPropsVTypes"/>
</file>