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Name Exercise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5190"/>
        <w:tblGridChange w:id="0">
          <w:tblGrid>
            <w:gridCol w:w="4170"/>
            <w:gridCol w:w="5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How long do we anticipate it should take learners to complete this assessment?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30mins-1hour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What lesson item should this follow, in which week of the course?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1 Parts 1-4 before the assessment.</w:t>
              <w:br w:type="textWrapping"/>
              <w:t xml:space="preserve">Move to Course 1 Part 5 after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package or library installs (including versions) are needed to complete this notebook?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tensorflow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datasets are needed to complete this notebook (please include these along with your assignment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They’re included - it uses MNIST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learners receive any partial credit for the assessment, or just a single correct or incorrect response?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Partial Credit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feedback should we deliver for a correct response?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a general, ‘Correct, well done!’ or similar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grading be based on the learner’s exact code lines (syntax etc) or the result/output of running the code?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result/output of running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Within your Jupyter Notebook Question and solutions files, please include the following scaffolding placeholders for learners.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“# YOUR CODE SHOULD START HERE”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“# YOUR CODE SHOULD END HERE”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