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580C" w14:textId="2123C985" w:rsidR="008B3F5F" w:rsidRDefault="008B3F5F" w:rsidP="008B3F5F">
      <w:pPr>
        <w:jc w:val="center"/>
        <w:rPr>
          <w:rFonts w:ascii="Times New Roman" w:hAnsi="Times New Roman" w:cs="Times New Roman"/>
          <w:b/>
          <w:bCs/>
        </w:rPr>
      </w:pPr>
      <w:r w:rsidRPr="008B3F5F">
        <w:rPr>
          <w:rFonts w:ascii="Times New Roman" w:hAnsi="Times New Roman" w:cs="Times New Roman"/>
          <w:b/>
          <w:bCs/>
        </w:rPr>
        <w:t>SUMMARY</w:t>
      </w:r>
    </w:p>
    <w:p w14:paraId="37AE314C" w14:textId="2CA1FC91" w:rsidR="008B3F5F" w:rsidRPr="00A930DE" w:rsidRDefault="008B3F5F" w:rsidP="008B3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Dataset Name – IPO.csv</w:t>
      </w:r>
    </w:p>
    <w:p w14:paraId="123148BB" w14:textId="6C2121FA" w:rsidR="008B3F5F" w:rsidRPr="00A930DE" w:rsidRDefault="008B3F5F" w:rsidP="008B3F5F">
      <w:pPr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      Source – </w:t>
      </w:r>
      <w:r w:rsidR="00E02A4B" w:rsidRPr="00A930DE">
        <w:rPr>
          <w:rFonts w:ascii="Times New Roman" w:hAnsi="Times New Roman" w:cs="Times New Roman"/>
          <w:sz w:val="20"/>
          <w:szCs w:val="20"/>
        </w:rPr>
        <w:t>Provided by the University</w:t>
      </w:r>
    </w:p>
    <w:p w14:paraId="0930375D" w14:textId="035D29CA" w:rsidR="008B3F5F" w:rsidRPr="00A930DE" w:rsidRDefault="008B3F5F" w:rsidP="008B3F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Objective 1 - Key Drivers of Listing Day Performance</w:t>
      </w:r>
    </w:p>
    <w:p w14:paraId="5B3B0728" w14:textId="7E5F8B17" w:rsidR="008B3F5F" w:rsidRPr="00A930DE" w:rsidRDefault="008B3F5F" w:rsidP="008B3F5F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Objective 2: Segment IPOs by Subscription Demand</w:t>
      </w:r>
    </w:p>
    <w:p w14:paraId="68E546F4" w14:textId="193B646B" w:rsidR="008B3F5F" w:rsidRPr="00A930DE" w:rsidRDefault="008B3F5F" w:rsidP="008B3F5F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Objective 3: "Listing Pop vs. Long-Term Value" Quadrant Analysis</w:t>
      </w:r>
    </w:p>
    <w:p w14:paraId="3B533F80" w14:textId="77777777" w:rsidR="008B3F5F" w:rsidRPr="00A930DE" w:rsidRDefault="008B3F5F" w:rsidP="008B3F5F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Objective 4: Profile Investor-Specific Demand ("Smart Money")</w:t>
      </w:r>
    </w:p>
    <w:p w14:paraId="0E72D3E1" w14:textId="2DC663EC" w:rsidR="008B3F5F" w:rsidRPr="00A930DE" w:rsidRDefault="008B3F5F" w:rsidP="008B3F5F">
      <w:pPr>
        <w:pStyle w:val="ListParagraph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Objective 5: (Stand-by) Market Sentiment Over Time</w:t>
      </w:r>
    </w:p>
    <w:p w14:paraId="56076C77" w14:textId="77777777" w:rsidR="00A930DE" w:rsidRPr="00A930DE" w:rsidRDefault="00A930DE" w:rsidP="00A930DE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A930DE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A930DE">
        <w:rPr>
          <w:b/>
          <w:bCs/>
          <w:sz w:val="20"/>
          <w:szCs w:val="20"/>
        </w:rPr>
        <w:t xml:space="preserve"> Problem Statement</w:t>
      </w:r>
    </w:p>
    <w:p w14:paraId="75D90597" w14:textId="77777777" w:rsidR="00A930DE" w:rsidRPr="00A930DE" w:rsidRDefault="00A930DE" w:rsidP="00A930DE">
      <w:pPr>
        <w:pStyle w:val="ListParagraph"/>
        <w:ind w:left="360"/>
        <w:rPr>
          <w:sz w:val="20"/>
          <w:szCs w:val="20"/>
        </w:rPr>
      </w:pPr>
      <w:r w:rsidRPr="00A930DE">
        <w:rPr>
          <w:sz w:val="20"/>
          <w:szCs w:val="20"/>
        </w:rPr>
        <w:t>The Indian IPO market has become increasingly dynamic, witnessing varying levels of investor demand, listing-day gains, and long-term performance.</w:t>
      </w:r>
      <w:r w:rsidRPr="00A930DE">
        <w:rPr>
          <w:sz w:val="20"/>
          <w:szCs w:val="20"/>
        </w:rPr>
        <w:br/>
        <w:t xml:space="preserve">Despite this, investors and analysts lack a consolidated analytical framework to identify the </w:t>
      </w:r>
      <w:r w:rsidRPr="00A930DE">
        <w:rPr>
          <w:b/>
          <w:bCs/>
          <w:sz w:val="20"/>
          <w:szCs w:val="20"/>
        </w:rPr>
        <w:t>key factors that drive IPO success</w:t>
      </w:r>
      <w:r w:rsidRPr="00A930DE">
        <w:rPr>
          <w:sz w:val="20"/>
          <w:szCs w:val="20"/>
        </w:rPr>
        <w:t xml:space="preserve"> — particularly how </w:t>
      </w:r>
      <w:r w:rsidRPr="00A930DE">
        <w:rPr>
          <w:b/>
          <w:bCs/>
          <w:sz w:val="20"/>
          <w:szCs w:val="20"/>
        </w:rPr>
        <w:t>subscription demand, investor category participation, and market sentiment</w:t>
      </w:r>
      <w:r w:rsidRPr="00A930DE">
        <w:rPr>
          <w:sz w:val="20"/>
          <w:szCs w:val="20"/>
        </w:rPr>
        <w:t xml:space="preserve"> influence short-term and long-term returns.</w:t>
      </w:r>
    </w:p>
    <w:p w14:paraId="3C7DD54D" w14:textId="54EA4166" w:rsidR="00A930DE" w:rsidRPr="00A930DE" w:rsidRDefault="00A930DE" w:rsidP="00A930DE">
      <w:pPr>
        <w:pStyle w:val="ListParagraph"/>
        <w:ind w:left="360"/>
        <w:rPr>
          <w:sz w:val="20"/>
          <w:szCs w:val="20"/>
        </w:rPr>
      </w:pPr>
      <w:r w:rsidRPr="00A930DE">
        <w:rPr>
          <w:sz w:val="20"/>
          <w:szCs w:val="20"/>
        </w:rPr>
        <w:t xml:space="preserve">This project aims to bridge that gap by leveraging Power BI to convert raw IPO data into </w:t>
      </w:r>
      <w:r w:rsidRPr="00A930DE">
        <w:rPr>
          <w:b/>
          <w:bCs/>
          <w:sz w:val="20"/>
          <w:szCs w:val="20"/>
        </w:rPr>
        <w:t>interactive visual insights</w:t>
      </w:r>
      <w:r w:rsidRPr="00A930DE">
        <w:rPr>
          <w:sz w:val="20"/>
          <w:szCs w:val="20"/>
        </w:rPr>
        <w:t>. The dashboard enables users to explore relationships between issue characteristics, investor demand, and performance metrics, thereby supporting data-driven investment decisions.</w:t>
      </w:r>
    </w:p>
    <w:p w14:paraId="426CCABB" w14:textId="77777777" w:rsidR="00A930DE" w:rsidRPr="00A930DE" w:rsidRDefault="00A930DE" w:rsidP="00A930DE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A930DE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A930DE">
        <w:rPr>
          <w:b/>
          <w:bCs/>
          <w:sz w:val="20"/>
          <w:szCs w:val="20"/>
        </w:rPr>
        <w:t xml:space="preserve"> Methodology of Data Analysis</w:t>
      </w:r>
    </w:p>
    <w:p w14:paraId="62AA4704" w14:textId="77777777" w:rsidR="00A930DE" w:rsidRPr="00A930DE" w:rsidRDefault="00A930DE" w:rsidP="00A930DE">
      <w:pPr>
        <w:pStyle w:val="ListParagraph"/>
        <w:ind w:left="360"/>
        <w:rPr>
          <w:sz w:val="20"/>
          <w:szCs w:val="20"/>
        </w:rPr>
      </w:pPr>
      <w:r w:rsidRPr="00A930DE">
        <w:rPr>
          <w:sz w:val="20"/>
          <w:szCs w:val="20"/>
        </w:rPr>
        <w:t xml:space="preserve">The analytical workflow followed a structured </w:t>
      </w:r>
      <w:r w:rsidRPr="00A930DE">
        <w:rPr>
          <w:b/>
          <w:bCs/>
          <w:sz w:val="20"/>
          <w:szCs w:val="20"/>
        </w:rPr>
        <w:t>seven-phase approach</w:t>
      </w:r>
      <w:r w:rsidRPr="00A930DE">
        <w:rPr>
          <w:sz w:val="20"/>
          <w:szCs w:val="20"/>
        </w:rPr>
        <w:t xml:space="preserve"> in Power BI:</w:t>
      </w:r>
    </w:p>
    <w:tbl>
      <w:tblPr>
        <w:tblW w:w="9357" w:type="dxa"/>
        <w:tblCellSpacing w:w="15" w:type="dxa"/>
        <w:tblLook w:val="04A0" w:firstRow="1" w:lastRow="0" w:firstColumn="1" w:lastColumn="0" w:noHBand="0" w:noVBand="1"/>
      </w:tblPr>
      <w:tblGrid>
        <w:gridCol w:w="1864"/>
        <w:gridCol w:w="6224"/>
        <w:gridCol w:w="1269"/>
      </w:tblGrid>
      <w:tr w:rsidR="00A930DE" w:rsidRPr="00A930DE" w14:paraId="29858F2D" w14:textId="77777777" w:rsidTr="00A930DE">
        <w:trPr>
          <w:trHeight w:val="315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3518D" w14:textId="77777777" w:rsidR="00A930DE" w:rsidRPr="00A930DE" w:rsidRDefault="00A930DE">
            <w:pPr>
              <w:rPr>
                <w:b/>
                <w:bCs/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C53AF" w14:textId="77777777" w:rsidR="00A930DE" w:rsidRPr="00A930DE" w:rsidRDefault="00A930DE">
            <w:pPr>
              <w:rPr>
                <w:b/>
                <w:bCs/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322AA" w14:textId="77777777" w:rsidR="00A930DE" w:rsidRPr="00A930DE" w:rsidRDefault="00A930DE">
            <w:pPr>
              <w:rPr>
                <w:b/>
                <w:bCs/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Description / Process</w:t>
            </w:r>
          </w:p>
        </w:tc>
      </w:tr>
      <w:tr w:rsidR="00A930DE" w:rsidRPr="00A930DE" w14:paraId="23DA07CC" w14:textId="77777777" w:rsidTr="00A930DE">
        <w:trPr>
          <w:trHeight w:val="43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28CC4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1️</w:t>
            </w:r>
            <w:r w:rsidRPr="00A930DE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A930DE">
              <w:rPr>
                <w:b/>
                <w:bCs/>
                <w:sz w:val="20"/>
                <w:szCs w:val="20"/>
              </w:rPr>
              <w:t xml:space="preserve"> Data Understanding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EDF65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sz w:val="20"/>
                <w:szCs w:val="20"/>
              </w:rPr>
              <w:t xml:space="preserve">Reviewed the IPO dataset containing fields such as </w:t>
            </w:r>
            <w:r w:rsidRPr="00A930DE">
              <w:rPr>
                <w:i/>
                <w:iCs/>
                <w:sz w:val="20"/>
                <w:szCs w:val="20"/>
              </w:rPr>
              <w:t>Issue Price, Issue Size, Total Subscriptions (QIB, HNI, RII), Listing Gain %, Current Gain %, and IPO Date</w:t>
            </w:r>
            <w:r w:rsidRPr="00A930DE">
              <w:rPr>
                <w:sz w:val="20"/>
                <w:szCs w:val="20"/>
              </w:rPr>
              <w:t>. Identified potential drivers of performance.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CF545" w14:textId="77777777" w:rsidR="00A930DE" w:rsidRPr="00A930DE" w:rsidRDefault="00A930DE">
            <w:pPr>
              <w:rPr>
                <w:sz w:val="20"/>
                <w:szCs w:val="20"/>
              </w:rPr>
            </w:pPr>
          </w:p>
        </w:tc>
      </w:tr>
      <w:tr w:rsidR="00A930DE" w:rsidRPr="00A930DE" w14:paraId="1375779A" w14:textId="77777777" w:rsidTr="00A930DE">
        <w:trPr>
          <w:trHeight w:val="43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9EBA1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2️</w:t>
            </w:r>
            <w:r w:rsidRPr="00A930DE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A930DE">
              <w:rPr>
                <w:b/>
                <w:bCs/>
                <w:sz w:val="20"/>
                <w:szCs w:val="20"/>
              </w:rPr>
              <w:t xml:space="preserve"> Data Cleaning &amp; Transformation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18D7A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sz w:val="20"/>
                <w:szCs w:val="20"/>
              </w:rPr>
              <w:t xml:space="preserve">Used </w:t>
            </w:r>
            <w:r w:rsidRPr="00A930DE">
              <w:rPr>
                <w:b/>
                <w:bCs/>
                <w:sz w:val="20"/>
                <w:szCs w:val="20"/>
              </w:rPr>
              <w:t>Power Query Editor</w:t>
            </w:r>
            <w:r w:rsidRPr="00A930DE">
              <w:rPr>
                <w:sz w:val="20"/>
                <w:szCs w:val="20"/>
              </w:rPr>
              <w:t xml:space="preserve"> to remove nulls, fix data types, and clean symbols (%/x). Derived columns like </w:t>
            </w:r>
            <w:r w:rsidRPr="00A930DE">
              <w:rPr>
                <w:i/>
                <w:iCs/>
                <w:sz w:val="20"/>
                <w:szCs w:val="20"/>
              </w:rPr>
              <w:t>Year, Quarter, Demand_Segment,</w:t>
            </w:r>
            <w:r w:rsidRPr="00A930DE">
              <w:rPr>
                <w:sz w:val="20"/>
                <w:szCs w:val="20"/>
              </w:rPr>
              <w:t xml:space="preserve"> and </w:t>
            </w:r>
            <w:r w:rsidRPr="00A930DE">
              <w:rPr>
                <w:i/>
                <w:iCs/>
                <w:sz w:val="20"/>
                <w:szCs w:val="20"/>
              </w:rPr>
              <w:t>Quadrant</w:t>
            </w:r>
            <w:r w:rsidRPr="00A930DE">
              <w:rPr>
                <w:sz w:val="20"/>
                <w:szCs w:val="20"/>
              </w:rPr>
              <w:t xml:space="preserve"> to support analysis.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D6340" w14:textId="77777777" w:rsidR="00A930DE" w:rsidRPr="00A930DE" w:rsidRDefault="00A930DE">
            <w:pPr>
              <w:rPr>
                <w:sz w:val="20"/>
                <w:szCs w:val="20"/>
              </w:rPr>
            </w:pPr>
          </w:p>
        </w:tc>
      </w:tr>
      <w:tr w:rsidR="00A930DE" w:rsidRPr="00A930DE" w14:paraId="527DAFDB" w14:textId="77777777" w:rsidTr="00A930DE">
        <w:trPr>
          <w:trHeight w:val="55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A1142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3️</w:t>
            </w:r>
            <w:r w:rsidRPr="00A930DE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A930DE">
              <w:rPr>
                <w:b/>
                <w:bCs/>
                <w:sz w:val="20"/>
                <w:szCs w:val="20"/>
              </w:rPr>
              <w:t xml:space="preserve"> Data Modeling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4E14E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sz w:val="20"/>
                <w:szCs w:val="20"/>
              </w:rPr>
              <w:t xml:space="preserve">Built a </w:t>
            </w:r>
            <w:r w:rsidRPr="00A930DE">
              <w:rPr>
                <w:b/>
                <w:bCs/>
                <w:sz w:val="20"/>
                <w:szCs w:val="20"/>
              </w:rPr>
              <w:t>Star Schema</w:t>
            </w:r>
            <w:r w:rsidRPr="00A930DE">
              <w:rPr>
                <w:sz w:val="20"/>
                <w:szCs w:val="20"/>
              </w:rPr>
              <w:t xml:space="preserve"> with Fact_IPO as the central fact table and dimension tables: Dim_Date, Dim_Demand, and Dim_InvestorType. Established one-to-many relationships for time and demand segmentation.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41605" w14:textId="77777777" w:rsidR="00A930DE" w:rsidRPr="00A930DE" w:rsidRDefault="00A930DE">
            <w:pPr>
              <w:rPr>
                <w:sz w:val="20"/>
                <w:szCs w:val="20"/>
              </w:rPr>
            </w:pPr>
          </w:p>
        </w:tc>
      </w:tr>
      <w:tr w:rsidR="00A930DE" w:rsidRPr="00A930DE" w14:paraId="6D6A1371" w14:textId="77777777" w:rsidTr="00A930DE">
        <w:trPr>
          <w:trHeight w:val="331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05015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b/>
                <w:bCs/>
                <w:sz w:val="20"/>
                <w:szCs w:val="20"/>
              </w:rPr>
              <w:t>4️</w:t>
            </w:r>
            <w:r w:rsidRPr="00A930DE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A930DE">
              <w:rPr>
                <w:b/>
                <w:bCs/>
                <w:sz w:val="20"/>
                <w:szCs w:val="20"/>
              </w:rPr>
              <w:t xml:space="preserve"> KPI &amp; DAX Measure Creation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D0234" w14:textId="77777777" w:rsidR="00A930DE" w:rsidRPr="00A930DE" w:rsidRDefault="00A930DE">
            <w:pPr>
              <w:rPr>
                <w:sz w:val="20"/>
                <w:szCs w:val="20"/>
              </w:rPr>
            </w:pPr>
            <w:r w:rsidRPr="00A930DE">
              <w:rPr>
                <w:sz w:val="20"/>
                <w:szCs w:val="20"/>
              </w:rPr>
              <w:t>Defined core metrics: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A7727" w14:textId="77777777" w:rsidR="00A930DE" w:rsidRPr="00A930DE" w:rsidRDefault="00A930DE">
            <w:pPr>
              <w:rPr>
                <w:sz w:val="20"/>
                <w:szCs w:val="20"/>
              </w:rPr>
            </w:pPr>
          </w:p>
        </w:tc>
      </w:tr>
    </w:tbl>
    <w:p w14:paraId="7F31C9D0" w14:textId="77777777" w:rsidR="00A930DE" w:rsidRPr="00A930DE" w:rsidRDefault="00E02A4B" w:rsidP="00A930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Key Insights &amp; Finding</w:t>
      </w:r>
      <w:r w:rsidR="00A930DE">
        <w:rPr>
          <w:rFonts w:ascii="Times New Roman" w:hAnsi="Times New Roman" w:cs="Times New Roman"/>
          <w:sz w:val="20"/>
          <w:szCs w:val="20"/>
        </w:rPr>
        <w:t xml:space="preserve"> - </w:t>
      </w:r>
      <w:r w:rsidR="00A930DE" w:rsidRPr="00A930DE">
        <w:rPr>
          <w:rFonts w:ascii="Times New Roman" w:hAnsi="Times New Roman" w:cs="Times New Roman"/>
          <w:sz w:val="20"/>
          <w:szCs w:val="20"/>
        </w:rPr>
        <w:t xml:space="preserve">A </w:t>
      </w:r>
      <w:r w:rsidR="00A930DE" w:rsidRPr="00A930DE">
        <w:rPr>
          <w:rFonts w:ascii="Times New Roman" w:hAnsi="Times New Roman" w:cs="Times New Roman"/>
          <w:b/>
          <w:bCs/>
          <w:sz w:val="20"/>
          <w:szCs w:val="20"/>
        </w:rPr>
        <w:t>fully functional Power BI dashboard</w:t>
      </w:r>
      <w:r w:rsidR="00A930DE" w:rsidRPr="00A930DE">
        <w:rPr>
          <w:rFonts w:ascii="Times New Roman" w:hAnsi="Times New Roman" w:cs="Times New Roman"/>
          <w:sz w:val="20"/>
          <w:szCs w:val="20"/>
        </w:rPr>
        <w:t xml:space="preserve"> linking pre-listing demand with post-listing returns.</w:t>
      </w:r>
    </w:p>
    <w:p w14:paraId="341839C2" w14:textId="77777777" w:rsidR="00A930DE" w:rsidRP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Identification of </w:t>
      </w:r>
      <w:r w:rsidRPr="00A930DE">
        <w:rPr>
          <w:rFonts w:ascii="Times New Roman" w:hAnsi="Times New Roman" w:cs="Times New Roman"/>
          <w:b/>
          <w:bCs/>
          <w:sz w:val="20"/>
          <w:szCs w:val="20"/>
        </w:rPr>
        <w:t>key performance drivers</w:t>
      </w:r>
      <w:r w:rsidRPr="00A930DE">
        <w:rPr>
          <w:rFonts w:ascii="Times New Roman" w:hAnsi="Times New Roman" w:cs="Times New Roman"/>
          <w:sz w:val="20"/>
          <w:szCs w:val="20"/>
        </w:rPr>
        <w:t xml:space="preserve"> such as subscription intensity, issue size, and institutional interest.</w:t>
      </w:r>
    </w:p>
    <w:p w14:paraId="206C916F" w14:textId="77777777" w:rsidR="00A930DE" w:rsidRP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Visualization of </w:t>
      </w:r>
      <w:r w:rsidRPr="00A930DE">
        <w:rPr>
          <w:rFonts w:ascii="Times New Roman" w:hAnsi="Times New Roman" w:cs="Times New Roman"/>
          <w:b/>
          <w:bCs/>
          <w:sz w:val="20"/>
          <w:szCs w:val="20"/>
        </w:rPr>
        <w:t>market sentiment cycles</w:t>
      </w:r>
      <w:r w:rsidRPr="00A930DE">
        <w:rPr>
          <w:rFonts w:ascii="Times New Roman" w:hAnsi="Times New Roman" w:cs="Times New Roman"/>
          <w:sz w:val="20"/>
          <w:szCs w:val="20"/>
        </w:rPr>
        <w:t xml:space="preserve"> (hot vs cold periods) across years.</w:t>
      </w:r>
    </w:p>
    <w:p w14:paraId="00140D85" w14:textId="77777777" w:rsidR="00A930DE" w:rsidRP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Actionable recommendations for </w:t>
      </w:r>
      <w:r w:rsidRPr="00A930DE">
        <w:rPr>
          <w:rFonts w:ascii="Times New Roman" w:hAnsi="Times New Roman" w:cs="Times New Roman"/>
          <w:b/>
          <w:bCs/>
          <w:sz w:val="20"/>
          <w:szCs w:val="20"/>
        </w:rPr>
        <w:t>retail and institutional investors</w:t>
      </w:r>
      <w:r w:rsidRPr="00A930DE">
        <w:rPr>
          <w:rFonts w:ascii="Times New Roman" w:hAnsi="Times New Roman" w:cs="Times New Roman"/>
          <w:sz w:val="20"/>
          <w:szCs w:val="20"/>
        </w:rPr>
        <w:t>.</w:t>
      </w:r>
    </w:p>
    <w:p w14:paraId="1C5751A7" w14:textId="77777777" w:rsidR="00A930DE" w:rsidRP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Demonstration of analytical depth and professional dashboard design suitable for hackathon judging.</w:t>
      </w:r>
    </w:p>
    <w:p w14:paraId="5DE02067" w14:textId="5CE43F32" w:rsidR="00E02A4B" w:rsidRPr="00A930DE" w:rsidRDefault="00E02A4B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221581F6" w14:textId="77777777" w:rsidR="00A930DE" w:rsidRPr="00A930DE" w:rsidRDefault="00E02A4B" w:rsidP="00A930D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Managerial or Strategic Implication</w:t>
      </w:r>
      <w:r w:rsidR="00A930DE">
        <w:rPr>
          <w:rFonts w:ascii="Times New Roman" w:hAnsi="Times New Roman" w:cs="Times New Roman"/>
          <w:sz w:val="20"/>
          <w:szCs w:val="20"/>
        </w:rPr>
        <w:t xml:space="preserve"> - </w:t>
      </w:r>
      <w:r w:rsidR="00A930DE" w:rsidRPr="00A930DE">
        <w:rPr>
          <w:sz w:val="20"/>
          <w:szCs w:val="20"/>
        </w:rPr>
        <w:t xml:space="preserve">The findings from this analysis provide valuable insights for investors, underwriters, and policymakers in the IPO ecosystem. By identifying the key drivers behind listing-day </w:t>
      </w:r>
      <w:r w:rsidR="00A930DE" w:rsidRPr="00A930DE">
        <w:rPr>
          <w:sz w:val="20"/>
          <w:szCs w:val="20"/>
        </w:rPr>
        <w:lastRenderedPageBreak/>
        <w:t>performance and long-term value, managers can design more informed pricing, marketing, and timing strategies for future IPOs.</w:t>
      </w:r>
    </w:p>
    <w:p w14:paraId="342932E6" w14:textId="7019FADD" w:rsidR="00E02A4B" w:rsidRP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For investors, understanding the relationship between subscription demand and sustained returns helps in distinguishing short-term hype from long-term potential. Similarly, underwriters can use these insights to better gauge investor sentiment and structure offerings more effectively. Overall, the project supports </w:t>
      </w:r>
      <w:r w:rsidRPr="00A930DE">
        <w:rPr>
          <w:rFonts w:ascii="Times New Roman" w:hAnsi="Times New Roman" w:cs="Times New Roman"/>
          <w:b/>
          <w:bCs/>
          <w:sz w:val="20"/>
          <w:szCs w:val="20"/>
        </w:rPr>
        <w:t>data-driven decision-making</w:t>
      </w:r>
      <w:r w:rsidRPr="00A930DE">
        <w:rPr>
          <w:rFonts w:ascii="Times New Roman" w:hAnsi="Times New Roman" w:cs="Times New Roman"/>
          <w:sz w:val="20"/>
          <w:szCs w:val="20"/>
        </w:rPr>
        <w:t>, enabling stakeholders to optimize IPO strategies, manage risks, and enhance market efficiency.</w:t>
      </w:r>
    </w:p>
    <w:p w14:paraId="05DB0234" w14:textId="77777777" w:rsid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467AFF9E" w14:textId="77777777" w:rsidR="00A930DE" w:rsidRPr="00A930DE" w:rsidRDefault="00A930DE" w:rsidP="00A930D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48A27C04" w14:textId="77777777" w:rsidR="00736088" w:rsidRPr="00A930DE" w:rsidRDefault="00E02A4B" w:rsidP="007360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>Team Details –</w:t>
      </w:r>
    </w:p>
    <w:p w14:paraId="1C798986" w14:textId="2FBEDFF5" w:rsidR="00E02A4B" w:rsidRPr="00A930DE" w:rsidRDefault="00E02A4B" w:rsidP="00736088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 Name – Amrita Maharana (240402100001)</w:t>
      </w:r>
      <w:r w:rsidR="00736088" w:rsidRPr="00A930DE">
        <w:rPr>
          <w:rFonts w:ascii="Times New Roman" w:hAnsi="Times New Roman" w:cs="Times New Roman"/>
          <w:sz w:val="20"/>
          <w:szCs w:val="20"/>
        </w:rPr>
        <w:t>, (MBA), (CUTM BBSR)</w:t>
      </w:r>
    </w:p>
    <w:p w14:paraId="3F933197" w14:textId="5B52CBF7" w:rsidR="00E02A4B" w:rsidRPr="00A930DE" w:rsidRDefault="00E02A4B" w:rsidP="00E02A4B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              Smruti Pragyan Sahoo (240402100006)</w:t>
      </w:r>
      <w:r w:rsidR="00736088" w:rsidRPr="00A930DE">
        <w:rPr>
          <w:rFonts w:ascii="Times New Roman" w:hAnsi="Times New Roman" w:cs="Times New Roman"/>
          <w:sz w:val="20"/>
          <w:szCs w:val="20"/>
        </w:rPr>
        <w:t>, (MBA), (CUTM BBSR)</w:t>
      </w:r>
    </w:p>
    <w:p w14:paraId="2DAFB96D" w14:textId="262A751F" w:rsidR="00736088" w:rsidRPr="00A930DE" w:rsidRDefault="00E02A4B" w:rsidP="00736088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              Shyam Sundar Mohapatra (240402100043)</w:t>
      </w:r>
      <w:r w:rsidR="00736088" w:rsidRPr="00A930DE">
        <w:rPr>
          <w:rFonts w:ascii="Times New Roman" w:hAnsi="Times New Roman" w:cs="Times New Roman"/>
          <w:sz w:val="20"/>
          <w:szCs w:val="20"/>
        </w:rPr>
        <w:t>, (MBA), (CUTM BBSR)</w:t>
      </w:r>
    </w:p>
    <w:p w14:paraId="3709E53F" w14:textId="2BB898B8" w:rsidR="00736088" w:rsidRPr="00A930DE" w:rsidRDefault="00E02A4B" w:rsidP="00736088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              Sourabha Prakash Mohanty (240402100051)</w:t>
      </w:r>
      <w:r w:rsidR="00736088" w:rsidRPr="00A930DE">
        <w:rPr>
          <w:rFonts w:ascii="Times New Roman" w:hAnsi="Times New Roman" w:cs="Times New Roman"/>
          <w:sz w:val="20"/>
          <w:szCs w:val="20"/>
        </w:rPr>
        <w:t>, (MBA), (CUTM BBSR)</w:t>
      </w:r>
    </w:p>
    <w:p w14:paraId="57BAE12B" w14:textId="017ADDBA" w:rsidR="00E02A4B" w:rsidRPr="00A930DE" w:rsidRDefault="00E02A4B" w:rsidP="00E02A4B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  <w:r w:rsidRPr="00A930DE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736088" w:rsidRPr="00A930DE">
        <w:rPr>
          <w:rFonts w:ascii="Times New Roman" w:hAnsi="Times New Roman" w:cs="Times New Roman"/>
          <w:sz w:val="20"/>
          <w:szCs w:val="20"/>
        </w:rPr>
        <w:t xml:space="preserve"> </w:t>
      </w:r>
      <w:r w:rsidRPr="00A930DE">
        <w:rPr>
          <w:rFonts w:ascii="Times New Roman" w:hAnsi="Times New Roman" w:cs="Times New Roman"/>
          <w:sz w:val="20"/>
          <w:szCs w:val="20"/>
        </w:rPr>
        <w:t>Swayang S</w:t>
      </w:r>
      <w:r w:rsidR="00736088" w:rsidRPr="00A930DE">
        <w:rPr>
          <w:rFonts w:ascii="Times New Roman" w:hAnsi="Times New Roman" w:cs="Times New Roman"/>
          <w:sz w:val="20"/>
          <w:szCs w:val="20"/>
        </w:rPr>
        <w:t>wabhiman Jena (240402100054), (MBA), (CUTM BBSR)</w:t>
      </w:r>
    </w:p>
    <w:sectPr w:rsidR="00E02A4B" w:rsidRPr="00A93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31CF"/>
    <w:multiLevelType w:val="hybridMultilevel"/>
    <w:tmpl w:val="F7EC9B9C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D00D9D"/>
    <w:multiLevelType w:val="multilevel"/>
    <w:tmpl w:val="C75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95425"/>
    <w:multiLevelType w:val="hybridMultilevel"/>
    <w:tmpl w:val="90CAFDD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9298F"/>
    <w:multiLevelType w:val="hybridMultilevel"/>
    <w:tmpl w:val="2908645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093300">
    <w:abstractNumId w:val="2"/>
  </w:num>
  <w:num w:numId="2" w16cid:durableId="1744788656">
    <w:abstractNumId w:val="0"/>
  </w:num>
  <w:num w:numId="3" w16cid:durableId="1782265976">
    <w:abstractNumId w:val="3"/>
  </w:num>
  <w:num w:numId="4" w16cid:durableId="10159652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5F"/>
    <w:rsid w:val="0018789F"/>
    <w:rsid w:val="002A636B"/>
    <w:rsid w:val="005C0C28"/>
    <w:rsid w:val="00736088"/>
    <w:rsid w:val="008B3F5F"/>
    <w:rsid w:val="00A930DE"/>
    <w:rsid w:val="00E02A4B"/>
    <w:rsid w:val="00E83263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748D"/>
  <w15:chartTrackingRefBased/>
  <w15:docId w15:val="{08E7908F-9A21-450B-895D-8BBDE6C2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0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Swayang Swabhiman Jena</dc:creator>
  <cp:keywords/>
  <dc:description/>
  <cp:lastModifiedBy>amritamaharana01@gmail.com</cp:lastModifiedBy>
  <cp:revision>2</cp:revision>
  <dcterms:created xsi:type="dcterms:W3CDTF">2025-11-04T01:53:00Z</dcterms:created>
  <dcterms:modified xsi:type="dcterms:W3CDTF">2025-11-04T04:27:00Z</dcterms:modified>
</cp:coreProperties>
</file>