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DbSet&lt;AddressEntity&gt; Address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DbSet&lt;AdminEntity&gt; Admin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DbSet&lt;AgentEntity&gt; Agent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DbSet&lt;AreaEntity&gt; Area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DbSet&lt;BankNameEntity&gt; BankName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DbSet&lt;BonusEntity&gt; Bonus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DbSet&lt;BonusTypeEntity&gt; BonusType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DbSet&lt;CashbuyEntity&gt; Cashbuy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DbSet&lt;CashcreditEntity&gt; Cashcredit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DbSet&lt;CashorderEntity&gt; Cashorder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DbSet&lt;CashPoundageEntity&gt; CashPoundage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DbSet&lt;CashsellEntity&gt; Cashsell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DbSet&lt;ChangeEntity&gt; Change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DbSet&lt;CityEntity&gt; City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DbSet&lt;CountryEntity&gt; Country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DbSet&lt;CurrencyRateEntity&gt; CurrencyRate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DbSet&lt;GlobeParamEntity&gt; GlobeParam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DbSet&lt;GoodsEntity&gt; Goods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DbSet&lt;JournalEntity&gt; Journal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DbSet&lt;LeaveMsgEntity&gt; LeaveMsg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DbSet&lt;LeaveReMsgEntity&gt; LeaveReMsg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DbSet&lt;LevelEntity&gt; Level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DbSet&lt;LinkEntity&gt; Link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DbSet&lt;MessageEntity&gt; Message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DbSet&lt;NewsEntity&gt; News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DbSet&lt;OrderDetailEntity&gt; OrderDetail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DbSet&lt;OrderEntity&gt; Order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DbSet&lt;PowerEntity&gt; Power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DbSet&lt;ProduceTypeEntity&gt; ProduceType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DbSet&lt;ProvinceEntity&gt; Province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DbSet&lt;RechargeEntity&gt; Recharge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DbSet&lt;RemitEntity&gt; Remit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DbSet&lt;SalesRoomEntity&gt; Sales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DbSet&lt;SecurityEntity&gt; Security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DbSet&lt;ServiceQQEntity&gt; ServiceQQ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DbSet&lt;SetSystemEntity&gt; SetSystem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DbSet&lt;SMSEntity&gt; SMS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DbSet&lt;StockBuyEntity&gt; StockBuy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DbSet&lt;StockChartEntity&gt; StockChart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DbSet&lt;StockDetailEntity&gt; StockDetail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DbSet&lt;StockEntity&gt; Stock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DbSet&lt;StockLssueEntity&gt; StockLssue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DbSet&lt;StockorderEntity&gt; Stockorder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DbSet&lt;StockSellEntity&gt; StockSell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DbSet&lt;StockSplitDetailEntity&gt; StockSplitDetail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DbSet&lt;StockSplitEntity&gt; StockSplit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DbSet&lt;SysLogEntity&gt; SysLog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DbSet&lt;SystemBankEntity&gt; SystemBank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DbSet&lt;SystemMoneyEntity&gt; SystemMoney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DbSet&lt;TakeMoneyEntity&gt; TakeMoney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DbSet&lt;UserEntity&gt; User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DbSet&lt;UserProEntity&gt; UserPro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DbSet&lt;UserRecordEntity&gt; UserRecord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DbSet&lt;WealthEntity&gt; Wealth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DbSet&lt;RoleEntity&gt; Role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DbSet&lt;PermissionEntity&gt; Permission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488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2018-03-20T09:57:00Z</dcterms:created>
  <dc:creator>kkle简单</dc:creator>
  <cp:lastModifiedBy>kkle简单</cp:lastModifiedBy>
  <dcterms:modified xsi:type="dcterms:W3CDTF">2018-03-20T09:58:08Z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