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Microsoft YaHei" w:cs="Microsoft YaHei" w:eastAsia="Microsoft YaHei" w:hAnsi="Microsoft YaHei"/>
          <w:b/>
          <w:bCs/>
          <w:color w:val="0E2F3A"/>
          <w:sz w:val="44"/>
          <w:szCs w:val="44"/>
        </w:rPr>
        <w:t xml:space="preserve">《信息系统分析与设计》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0F6E8C"/>
          <w:sz w:val="34"/>
          <w:szCs w:val="34"/>
        </w:rPr>
        <w:t xml:space="preserve">数字教材 · 使用说明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智能体 / 低代码（扣子 Coze）主线重构版 · 信息资源管理专业</w:t>
      </w:r>
    </w:p>
    <w:p>
      <w:pPr>
        <w:pBdr>
          <w:bottom w:val="single" w:color="F27A4E" w:sz="6" w:space="4"/>
        </w:pBdr>
      </w:pPr>
    </w:p>
    <w:p>
      <w:pPr>
        <w:spacing w:after="8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E0A82E"/>
          <w:sz w:val="20"/>
          <w:szCs w:val="20"/>
        </w:rPr>
        <w:t xml:space="preserve">配套资源一览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26"/>
        <w:gridCol w:w="1800"/>
      </w:tblGrid>
      <w:tr>
        <w:trPr>
          <w:tblHeader/>
        </w:trPr>
        <w:tc>
          <w:tcPr>
            <w:tcW w:type="dxa" w:w="26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0F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资源</w:t>
            </w:r>
          </w:p>
        </w:tc>
        <w:tc>
          <w:tcPr>
            <w:tcW w:type="dxa" w:w="4626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0F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内容 / 用途</w:t>
            </w:r>
          </w:p>
        </w:tc>
        <w:tc>
          <w:tcPr>
            <w:tcW w:type="dxa" w:w="18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0F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获取方式</w:t>
            </w:r>
          </w:p>
        </w:tc>
      </w:tr>
      <w:tr>
        <w:tc>
          <w:tcPr>
            <w:tcW w:type="dxa" w:w="26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数字教材（在线版）</w:t>
            </w:r>
          </w:p>
        </w:tc>
        <w:tc>
          <w:tcPr>
            <w:tcW w:type="dxa" w:w="4626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交互式 HTML5 站点，9 章 + 附录</w:t>
            </w:r>
          </w:p>
        </w:tc>
        <w:tc>
          <w:tcPr>
            <w:tcW w:type="dxa" w:w="18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CloudStudio 分享链接（见第 1 节）</w:t>
            </w:r>
          </w:p>
        </w:tc>
      </w:tr>
      <w:tr>
        <w:tc>
          <w:tcPr>
            <w:tcW w:type="dxa" w:w="26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EE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数字教材（离线版）</w:t>
            </w:r>
          </w:p>
        </w:tc>
        <w:tc>
          <w:tcPr>
            <w:tcW w:type="dxa" w:w="4626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EE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数字教材_离线版.zip，15 个文件，可离线打开</w:t>
            </w:r>
          </w:p>
        </w:tc>
        <w:tc>
          <w:tcPr>
            <w:tcW w:type="dxa" w:w="18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EE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随课发放 / 见附录说明</w:t>
            </w:r>
          </w:p>
        </w:tc>
      </w:tr>
      <w:tr>
        <w:tc>
          <w:tcPr>
            <w:tcW w:type="dxa" w:w="26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EE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职业与资格速查表</w:t>
            </w:r>
          </w:p>
        </w:tc>
        <w:tc>
          <w:tcPr>
            <w:tcW w:type="dxa" w:w="4626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EE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职业与资格速查表.docx</w:t>
            </w:r>
          </w:p>
        </w:tc>
        <w:tc>
          <w:tcPr>
            <w:tcW w:type="dxa" w:w="18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EE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教材附录 F 内下载</w:t>
            </w:r>
          </w:p>
        </w:tc>
      </w:tr>
      <w:tr>
        <w:tc>
          <w:tcPr>
            <w:tcW w:type="dxa" w:w="26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前沿文献候选清单</w:t>
            </w:r>
          </w:p>
        </w:tc>
        <w:tc>
          <w:tcPr>
            <w:tcW w:type="dxa" w:w="4626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前沿文献_候选清单.md</w:t>
            </w:r>
          </w:p>
        </w:tc>
        <w:tc>
          <w:tcPr>
            <w:tcW w:type="dxa" w:w="18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教材附录 E 内下载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在线访问（推荐）</w:t>
      </w:r>
    </w:p>
    <w:p>
      <w:r>
        <w:t xml:space="preserve">数字教材已部署至 CloudStudio 沙箱，点击下方链接即可在浏览器中直接阅读，无需安装任何软件，也无需下载文件。适合课堂投屏、学生自习与同行评审。</w:t>
      </w:r>
    </w:p>
    <w:p>
      <w:r>
        <w:rPr>
          <w:b/>
          <w:bCs/>
        </w:rPr>
        <w:t xml:space="preserve">分享链接（点击或复制到浏览器打开）：</w:t>
      </w:r>
    </w:p>
    <w:p>
      <w:hyperlink w:history="1" r:id="rIdhhzye16rqp3-z_fpukj4n">
        <w:r>
          <w:rPr>
            <w:rStyle w:val="Hyperlink"/>
          </w:rPr>
          <w:t xml:space="preserve">https://f67f3337cf9d4994b5bb5be8f4c83bcc.app.codebuddy.work</w:t>
        </w:r>
      </w:hyperlink>
    </w:p>
    <w:p>
      <w:r>
        <w:rPr>
          <w:b/>
          <w:bCs/>
          <w:color w:val="0F6E8C"/>
        </w:rPr>
        <w:t xml:space="preserve">使用提示：</w:t>
      </w:r>
    </w:p>
    <w:p>
      <w:pPr>
        <w:pStyle w:val="ListParagraph"/>
        <w:numPr>
          <w:ilvl w:val="0"/>
          <w:numId w:val="2"/>
        </w:numPr>
      </w:pPr>
      <w:r>
        <w:t xml:space="preserve">首次打开若页面空白，请稍等几秒后刷新一次——沙箱实例启动需要短暂预热。</w:t>
      </w:r>
    </w:p>
    <w:p>
      <w:pPr>
        <w:pStyle w:val="ListParagraph"/>
        <w:numPr>
          <w:ilvl w:val="0"/>
          <w:numId w:val="2"/>
        </w:numPr>
      </w:pPr>
      <w:r>
        <w:t xml:space="preserve">该链接为公开预览地址，可自由分发给学生与同事。</w:t>
      </w:r>
    </w:p>
    <w:p>
      <w:pPr>
        <w:pStyle w:val="ListParagraph"/>
        <w:numPr>
          <w:ilvl w:val="0"/>
          <w:numId w:val="2"/>
        </w:numPr>
      </w:pPr>
      <w:r>
        <w:t xml:space="preserve">教材内容更新后需重新部署，链接不会自动同步最新改动；如需最新版，请向任课教师索取重新部署后的链接。</w:t>
      </w:r>
    </w:p>
    <w:p>
      <w:pPr>
        <w:pStyle w:val="ListParagraph"/>
        <w:numPr>
          <w:ilvl w:val="0"/>
          <w:numId w:val="2"/>
        </w:numPr>
      </w:pPr>
      <w:r>
        <w:t xml:space="preserve">你可在「设置 - 数据管理 - 我发布的应用」中管理该在线应用（例如停止或删除）。</w:t>
      </w:r>
    </w:p>
    <w:p>
      <w:pPr>
        <w:pStyle w:val="Heading1"/>
      </w:pPr>
      <w:r>
        <w:t xml:space="preserve">2. 离线使用</w:t>
      </w:r>
    </w:p>
    <w:p>
      <w:r>
        <w:t xml:space="preserve">在没有网络或需要本地保存时，可使用离线包：</w:t>
      </w:r>
    </w:p>
    <w:p>
      <w:pPr>
        <w:pStyle w:val="ListParagraph"/>
        <w:numPr>
          <w:ilvl w:val="0"/>
          <w:numId w:val="2"/>
        </w:numPr>
      </w:pPr>
      <w:r>
        <w:t xml:space="preserve">文件：数字教材_离线版.zip（15 个文件，扁平结构）。</w:t>
      </w:r>
    </w:p>
    <w:p>
      <w:pPr>
        <w:pStyle w:val="ListParagraph"/>
        <w:numPr>
          <w:ilvl w:val="0"/>
          <w:numId w:val="2"/>
        </w:numPr>
      </w:pPr>
      <w:r>
        <w:t xml:space="preserve">用法：解压后双击 index.html 即可在浏览器打开，全部内容已内嵌、可离线浏览。</w:t>
      </w:r>
    </w:p>
    <w:p>
      <w:pPr>
        <w:pStyle w:val="ListParagraph"/>
        <w:numPr>
          <w:ilvl w:val="0"/>
          <w:numId w:val="2"/>
        </w:numPr>
      </w:pPr>
      <w:r>
        <w:t xml:space="preserve">离线包与在线版内容一致，包含 9 章正文、附录、样式与脚本，以及两份可下载的配套文档（职业与资格速查表、前沿文献候选清单）。</w:t>
      </w:r>
    </w:p>
    <w:p>
      <w:pPr>
        <w:pStyle w:val="Heading1"/>
      </w:pPr>
      <w:r>
        <w:t xml:space="preserve">3. 教材结构</w:t>
      </w:r>
    </w:p>
    <w:p>
      <w:r>
        <w:t xml:space="preserve">在线版 / 离线版门户（index.html）顶部为章节导航，正文共 9 章 + 1 个附录：</w:t>
      </w:r>
    </w:p>
    <w:p>
      <w:r>
        <w:t>每章统一采用「课程导学 / 课程内容 / 拓展练习 / 本章小结」四部分结构（页内以四种色块区分）：第一部分含 1 例真实「案例导入」，第四部分含 1 例「拓展案例」与 3 道延伸思考题。全书共选用 18 例中国信通院《智能体创新实践汇编》真实案例，其余 98 例全文收录于附录 G 案例库，可直接作为综合项目与学科竞赛的选题池。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3726"/>
      </w:tblGrid>
      <w:tr>
        <w:trPr>
          <w:tblHeader/>
        </w:trPr>
        <w:tc>
          <w:tcPr>
            <w:tcW w:type="dxa" w:w="11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0F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章节</w:t>
            </w:r>
          </w:p>
        </w:tc>
        <w:tc>
          <w:tcPr>
            <w:tcW w:type="dxa" w:w="42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0F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主题</w:t>
            </w:r>
          </w:p>
        </w:tc>
        <w:tc>
          <w:tcPr>
            <w:tcW w:type="dxa" w:w="3726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0F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核心实践载体</w:t>
            </w:r>
          </w:p>
        </w:tc>
      </w:tr>
      <w:tr>
        <w:tc>
          <w:tcPr>
            <w:tcW w:type="dxa" w:w="11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第 1 章</w:t>
            </w:r>
          </w:p>
        </w:tc>
        <w:tc>
          <w:tcPr>
            <w:tcW w:type="dxa" w:w="42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信息系统与智能体概述</w:t>
            </w:r>
          </w:p>
        </w:tc>
        <w:tc>
          <w:tcPr>
            <w:tcW w:type="dxa" w:w="3726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网络语言智能系统（课程贯穿项目）</w:t>
            </w:r>
          </w:p>
        </w:tc>
      </w:tr>
      <w:tr>
        <w:tc>
          <w:tcPr>
            <w:tcW w:type="dxa" w:w="11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EE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第 2 章</w:t>
            </w:r>
          </w:p>
        </w:tc>
        <w:tc>
          <w:tcPr>
            <w:tcW w:type="dxa" w:w="42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EE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信息系统规划与可行性分析</w:t>
            </w:r>
          </w:p>
        </w:tc>
        <w:tc>
          <w:tcPr>
            <w:tcW w:type="dxa" w:w="3726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EE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智能体立项可行性四维度</w:t>
            </w:r>
          </w:p>
        </w:tc>
      </w:tr>
      <w:tr>
        <w:tc>
          <w:tcPr>
            <w:tcW w:type="dxa" w:w="11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第 3 章</w:t>
            </w:r>
          </w:p>
        </w:tc>
        <w:tc>
          <w:tcPr>
            <w:tcW w:type="dxa" w:w="42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系统需求分析</w:t>
            </w:r>
          </w:p>
        </w:tc>
        <w:tc>
          <w:tcPr>
            <w:tcW w:type="dxa" w:w="3726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用用户故事锁定智能体需求</w:t>
            </w:r>
          </w:p>
        </w:tc>
      </w:tr>
      <w:tr>
        <w:tc>
          <w:tcPr>
            <w:tcW w:type="dxa" w:w="11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EE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第 4 章</w:t>
            </w:r>
          </w:p>
        </w:tc>
        <w:tc>
          <w:tcPr>
            <w:tcW w:type="dxa" w:w="42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EE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系统总体设计与智能体架构</w:t>
            </w:r>
          </w:p>
        </w:tc>
        <w:tc>
          <w:tcPr>
            <w:tcW w:type="dxa" w:w="3726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EE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高内聚低耦合的智能体架构</w:t>
            </w:r>
          </w:p>
        </w:tc>
      </w:tr>
      <w:tr>
        <w:tc>
          <w:tcPr>
            <w:tcW w:type="dxa" w:w="11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第 5 章</w:t>
            </w:r>
          </w:p>
        </w:tc>
        <w:tc>
          <w:tcPr>
            <w:tcW w:type="dxa" w:w="42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知识库设计与提示词工程</w:t>
            </w:r>
          </w:p>
        </w:tc>
        <w:tc>
          <w:tcPr>
            <w:tcW w:type="dxa" w:w="3726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流行语 + 鸡汤 RAG 知识库</w:t>
            </w:r>
          </w:p>
        </w:tc>
      </w:tr>
      <w:tr>
        <w:tc>
          <w:tcPr>
            <w:tcW w:type="dxa" w:w="11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EE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第 6 章</w:t>
            </w:r>
          </w:p>
        </w:tc>
        <w:tc>
          <w:tcPr>
            <w:tcW w:type="dxa" w:w="42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EE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智能体记忆与多模态设计</w:t>
            </w:r>
          </w:p>
        </w:tc>
        <w:tc>
          <w:tcPr>
            <w:tcW w:type="dxa" w:w="3726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EE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流行语知识图谱 / 多模态</w:t>
            </w:r>
          </w:p>
        </w:tc>
      </w:tr>
      <w:tr>
        <w:tc>
          <w:tcPr>
            <w:tcW w:type="dxa" w:w="11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第 7 章</w:t>
            </w:r>
          </w:p>
        </w:tc>
        <w:tc>
          <w:tcPr>
            <w:tcW w:type="dxa" w:w="42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复杂工作流与多智能体系统</w:t>
            </w:r>
          </w:p>
        </w:tc>
        <w:tc>
          <w:tcPr>
            <w:tcW w:type="dxa" w:w="3726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电商客服多智能体协作</w:t>
            </w:r>
          </w:p>
        </w:tc>
      </w:tr>
      <w:tr>
        <w:tc>
          <w:tcPr>
            <w:tcW w:type="dxa" w:w="11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EE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第 8 章</w:t>
            </w:r>
          </w:p>
        </w:tc>
        <w:tc>
          <w:tcPr>
            <w:tcW w:type="dxa" w:w="42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EE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低代码应用开发与 AI 编程</w:t>
            </w:r>
          </w:p>
        </w:tc>
        <w:tc>
          <w:tcPr>
            <w:tcW w:type="dxa" w:w="3726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EE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低代码搭「鸡汤生成 / 鉴别器」</w:t>
            </w:r>
          </w:p>
        </w:tc>
      </w:tr>
      <w:tr>
        <w:tc>
          <w:tcPr>
            <w:tcW w:type="dxa" w:w="11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第 9 章</w:t>
            </w:r>
          </w:p>
        </w:tc>
        <w:tc>
          <w:tcPr>
            <w:tcW w:type="dxa" w:w="42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系统实施测试与项目管理</w:t>
            </w:r>
          </w:p>
        </w:tc>
        <w:tc>
          <w:tcPr>
            <w:tcW w:type="dxa" w:w="3726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上线前的智能体测试清单</w:t>
            </w:r>
          </w:p>
        </w:tc>
      </w:tr>
      <w:tr>
        <w:tc>
          <w:tcPr>
            <w:tcW w:type="dxa" w:w="11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EE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附录</w:t>
            </w:r>
          </w:p>
        </w:tc>
        <w:tc>
          <w:tcPr>
            <w:tcW w:type="dxa" w:w="42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EE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术语表 / UML 速查 / Coze 清单 / 考核 / 资源 / 职业与资格 / 文献</w:t>
            </w:r>
          </w:p>
        </w:tc>
        <w:tc>
          <w:tcPr>
            <w:tcW w:type="dxa" w:w="3726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EE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综合速查</w:t>
            </w:r>
          </w:p>
        </w:tc>
      </w:tr>
    </w:tbl>
    <w:p>
      <w:pPr>
        <w:pStyle w:val="Heading1"/>
      </w:pPr>
      <w:r>
        <w:t xml:space="preserve">4. 教材交互功能</w:t>
      </w:r>
    </w:p>
    <w:p>
      <w:r>
        <w:t xml:space="preserve">数字教材内置多种交互特性，帮助自主学习：</w:t>
      </w:r>
    </w:p>
    <w:p>
      <w:pPr>
        <w:pStyle w:val="ListParagraph"/>
        <w:numPr>
          <w:ilvl w:val="0"/>
          <w:numId w:val="3"/>
        </w:numPr>
      </w:pPr>
      <w:r>
        <w:t xml:space="preserve">术语浮窗：正文中蓝色术语（如「智能体」「RAG」）鼠标悬停即弹出解释；每章末尾还有术语汇总框。</w:t>
      </w:r>
    </w:p>
    <w:p>
      <w:pPr>
        <w:pStyle w:val="ListParagraph"/>
        <w:numPr>
          <w:ilvl w:val="0"/>
          <w:numId w:val="3"/>
        </w:numPr>
      </w:pPr>
      <w:r>
        <w:t xml:space="preserve">技术案例框（青色）：每章一个贯穿性 Coze 实践案例，演示「理论→落地」。</w:t>
      </w:r>
    </w:p>
    <w:p>
      <w:pPr>
        <w:pStyle w:val="ListParagraph"/>
        <w:numPr>
          <w:ilvl w:val="0"/>
          <w:numId w:val="3"/>
        </w:numPr>
      </w:pPr>
      <w:r>
        <w:t xml:space="preserve">课程思政块（金色 IMA 案例）：每章融入智能体伦理、可信 AI、价值对齐等思政要点。</w:t>
      </w:r>
    </w:p>
    <w:p>
      <w:pPr>
        <w:pStyle w:val="ListParagraph"/>
        <w:numPr>
          <w:ilvl w:val="0"/>
          <w:numId w:val="3"/>
        </w:numPr>
      </w:pPr>
      <w:r>
        <w:t xml:space="preserve">课堂自测：每章「自测」小节可即时答题并判分，巩固知识点。</w:t>
      </w:r>
    </w:p>
    <w:p>
      <w:pPr>
        <w:pStyle w:val="ListParagraph"/>
        <w:numPr>
          <w:ilvl w:val="0"/>
          <w:numId w:val="3"/>
        </w:numPr>
      </w:pPr>
      <w:r>
        <w:t xml:space="preserve">学习进度：浏览器自动记录已读章节（localStorage），下次打开可见进度。</w:t>
      </w:r>
    </w:p>
    <w:p>
      <w:pPr>
        <w:pStyle w:val="ListParagraph"/>
        <w:numPr>
          <w:ilvl w:val="0"/>
          <w:numId w:val="3"/>
        </w:numPr>
      </w:pPr>
      <w:r>
        <w:t xml:space="preserve">导出 PDF：点击「打印 / 导出 PDF」即可将当前章节存为 PDF，便于离线批注。</w:t>
      </w:r>
    </w:p>
    <w:p>
      <w:pPr>
        <w:pStyle w:val="ListParagraph"/>
        <w:numPr>
          <w:ilvl w:val="0"/>
          <w:numId w:val="3"/>
        </w:numPr>
      </w:pPr>
      <w:r>
        <w:t xml:space="preserve">资源下载：附录 F 可下载《职业与资格速查表》，附录 E 可下载《前沿文献候选清单》。</w:t>
      </w:r>
    </w:p>
    <w:p>
      <w:pPr>
        <w:pStyle w:val="Heading1"/>
      </w:pPr>
      <w:r>
        <w:t>5. 使用注意事项</w:t>
      </w:r>
    </w:p>
    <w:p>
      <w:pPr>
        <w:pStyle w:val="ListParagraph"/>
        <w:numPr>
          <w:ilvl w:val="0"/>
          <w:numId w:val="2"/>
        </w:numPr>
      </w:pPr>
      <w:r>
        <w:t xml:space="preserve">「微课视频 / 二维码」模块当前为占位提示，正式视频录制后将替换，不影响其余内容阅读。</w:t>
      </w:r>
    </w:p>
    <w:p>
      <w:pPr>
        <w:pStyle w:val="ListParagraph"/>
        <w:numPr>
          <w:ilvl w:val="0"/>
          <w:numId w:val="2"/>
        </w:numPr>
      </w:pPr>
      <w:r>
        <w:t xml:space="preserve">教材内容如与最新政策、平台版本有出入，以课堂讲授与最新离线包为准。</w:t>
      </w:r>
    </w:p>
    <w:p>
      <w:pPr>
        <w:pStyle w:val="ListParagraph"/>
        <w:numPr>
          <w:ilvl w:val="0"/>
          <w:numId w:val="2"/>
        </w:numPr>
      </w:pPr>
      <w:r>
        <w:t xml:space="preserve">如发现内容错误或链接失效，请反馈任课教师，以便下一次修订。</w:t>
      </w:r>
    </w:p>
    <w:p>
      <w:pPr>
        <w:pStyle w:val="Heading1"/>
      </w:pPr>
      <w:r>
        <w:t xml:space="preserve">附录 · 快速参考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0F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0F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在线链接</w:t>
            </w:r>
          </w:p>
        </w:tc>
        <w:tc>
          <w:tcPr>
            <w:tcW w:type="dxa" w:w="6826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https://f67f3337cf9d4994b5bb5be8f4c83bcc.app.codebuddy.work</w:t>
            </w:r>
          </w:p>
        </w:tc>
      </w:tr>
      <w:tr>
        <w:tc>
          <w:tcPr>
            <w:tcW w:type="dxa" w:w="22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EE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离线包</w:t>
            </w:r>
          </w:p>
        </w:tc>
        <w:tc>
          <w:tcPr>
            <w:tcW w:type="dxa" w:w="6826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EE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数字教材_离线版.zip（15 文件）</w:t>
            </w:r>
          </w:p>
        </w:tc>
      </w:tr>
      <w:tr>
        <w:tc>
          <w:tcPr>
            <w:tcW w:type="dxa" w:w="22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EE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部署平台</w:t>
            </w:r>
          </w:p>
        </w:tc>
        <w:tc>
          <w:tcPr>
            <w:tcW w:type="dxa" w:w="6826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EE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CloudStudio 静态站点沙箱</w:t>
            </w:r>
          </w:p>
        </w:tc>
      </w:tr>
      <w:tr>
        <w:tc>
          <w:tcPr>
            <w:tcW w:type="dxa" w:w="22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适用对象</w:t>
            </w:r>
          </w:p>
        </w:tc>
        <w:tc>
          <w:tcPr>
            <w:tcW w:type="dxa" w:w="6826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信息资源管理专业大二；零编程基础</w:t>
            </w:r>
          </w:p>
        </w:tc>
      </w:tr>
      <w:tr>
        <w:tc>
          <w:tcPr>
            <w:tcW w:type="dxa" w:w="2200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EE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课时安排</w:t>
            </w:r>
          </w:p>
        </w:tc>
        <w:tc>
          <w:tcPr>
            <w:tcW w:type="dxa" w:w="6826"/>
            <w:tcBorders>
              <w:top w:val="single" w:color="C7D3DA" w:sz="1"/>
              <w:left w:val="single" w:color="C7D3DA" w:sz="1"/>
              <w:bottom w:val="single" w:color="C7D3DA" w:sz="1"/>
              <w:right w:val="single" w:color="C7D3DA" w:sz="1"/>
            </w:tcBorders>
            <w:shd w:fill="EE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讲 + 2 实验 / 周，共 18 周</w:t>
            </w:r>
          </w:p>
        </w:tc>
      </w:tr>
    </w:tbl>
    <w:p>
      <w:pPr>
        <w:spacing w:before="160"/>
      </w:pPr>
      <w:r>
        <w:rPr>
          <w:i/>
          <w:iCs/>
          <w:color w:val="888888"/>
          <w:sz w:val="20"/>
          <w:szCs w:val="20"/>
        </w:rPr>
        <w:t xml:space="preserve">—— 本说明随教材版本更新而更新，最终解释权归任课教师。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《信息系统分析与设计》数字教材 · 使用说明   |   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0E2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icrosoft YaHei" w:cs="Microsoft YaHei" w:eastAsia="Microsoft YaHei" w:hAnsi="Microsoft YaHei"/>
      <w:b/>
      <w:bCs/>
      <w:color w:val="0F6E8C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hzye16rqp3-z_fpukj4n" Type="http://schemas.openxmlformats.org/officeDocument/2006/relationships/hyperlink" Target="https://f67f3337cf9d4994b5bb5be8f4c83bcc.app.codebuddy.work" TargetMode="Externa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2026-07-29T01:31:29.056Z</dcterms:created>
  <dcterms:modified xsi:type="dcterms:W3CDTF">2026-07-29T01:31:29.063Z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