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B42A51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股票下一步涨跌幅度影响因素全维度思维树状图</w:t>
      </w:r>
    </w:p>
    <w:p w14:paraId="3EFF962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核心逻辑：初始影响维度 → 中间传导路径（基本面/资金面/情绪面/政策面） → 关键数据支撑 → 涨跌幅度研判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62C034CE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232D0E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mindmap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## 一、初始影响维度（核心驱动源）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### 1. 宏观经济维度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经济增长数据：GDP增速、PMI、工业增加值、社零总额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物价水平：CPI、PPI（通胀/通缩预期）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国际贸易：进出口数据、贸易顺差/逆差、汇率波动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财政政策：财政支出、税收政策、专项债发行规模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货币政策：利率（LPR/国债收益率）、存款准备金率、MLF/逆回购操作、M2/M1增速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### 2. 行业发展维度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行业景气度：行业增速、产能利用率、订单量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政策导向：行业扶持政策（补贴/税收优惠）、监管政策（限产/准入门槛）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技术变革：新技术突破、产能替代、行业升级进度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竞争格局：CR5/CR10集中度、头部企业市占率变化、新进入者威胁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产业链变化：上游原材料价格、下游需求景气度、供应链稳定性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### 3. 公司经营维度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股权与并购：并购重组（类型/金额/支付方式/审批进度）、股权质押/转让、定增/减持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管理层变动：董事长/CEO/核心高管更换（背景/履历/战略倾向）、核心技术人员流失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财务表现：营收/净利润增速、毛利率/净利率、ROE/ROIC、资产负债率、现金流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业务运营：核心产品销量/价格、市场份额、研发投入（R&amp;D占比）、产能扩张/收缩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风险事件：诉讼仲裁、违规处罚、产品质量问题、安全生产事故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### 4. 市场交易维度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资金流向：北向资金/南向资金持仓、公募/私募仓位、融资融券余额、龙虎榜数据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估值水平：PE(TTM)/PB(MRQ)/PS/PEG分位、与行业均值/历史均值对比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技术面信号：K线形态、均线排列、成交量变化、MACD/RSI/布林带等指标背离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市场情绪：涨跌家数比、赚钱效应、融资买入额占比、舆情热度（新闻/研报情绪）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### 5. 外部环境维度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国际市场：美股/欧股/港股走势、全球流动性、大宗商品价格（原油/黄金）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地缘政治：贸易摩擦、地缘冲突、外交关系变化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- </w:t>
            </w:r>
            <w:bookmarkStart w:id="0" w:name="_GoBack"/>
            <w:r>
              <w:rPr>
                <w:rFonts w:ascii="Consolas" w:hAnsi="Consolas" w:eastAsia="Consolas" w:cs="Consolas"/>
                <w:sz w:val="22"/>
              </w:rPr>
              <w:t>突发事件</w:t>
            </w:r>
            <w:bookmarkEnd w:id="0"/>
            <w:r>
              <w:rPr>
                <w:rFonts w:ascii="Consolas" w:hAnsi="Consolas" w:eastAsia="Consolas" w:cs="Consolas"/>
                <w:sz w:val="22"/>
              </w:rPr>
              <w:t>：疫情、自然灾害、黑天鹅事件（如金融机构暴雷）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## 二、中间传导路径（四大核心抓手）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### 1. 基本面传导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正向传导：利好初始因素→公司盈利预期改善/行业景气度提升→估值合理抬升→支撑股价上涨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负向传导：利空初始因素→公司盈利承压/行业景气度下行→估值回调→压制股价下跌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中性传导：因素影响有限→基本面无显著变化→估值维持区间震荡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### 2. 资金面传导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资金流入：流动性宽松/增量资金入场→核心资产/题材股获资金青睐→成交量放大→推动股价上涨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资金流出：流动性收紧/资金避险离场→筹码抛压增加→成交量萎缩→导致股价下跌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资金平衡：资金流入与流出相当→股价横盘整理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### 3. 情绪面传导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乐观情绪：利好预期扩散→市场看多情绪升温→跟风买入增加→放大上涨幅度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悲观情绪：利空消息发酵→市场看空情绪蔓延→恐慌抛售→放大下跌幅度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观望情绪：不确定性增加→投资者持仓谨慎→交投清淡→股价波动收窄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### 4. 政策面传导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直接传导：针对性政策出台→直接影响行业/公司盈利→股价快速反应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间接传导：宏观政策调整→影响市场流动性/经济预期→间接作用于股价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## 三、关键数据支撑（可量化指标）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### 1. 宏观经济数据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GDP增速：季度同比/环比，预判经济大环境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PMI：制造业/非制造业PMI，判断经济景气度（荣枯线50）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LPR/国债收益率：反映资金成本，影响估值水平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M2增速：衡量市场流动性松紧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### 2. 行业数据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行业增速：年度/季度行业营收/利润增速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产能利用率：反映行业供需关系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原材料价格指数：跟踪产业链成本变化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订单景气度：新订单/在手订单增速，预判未来营收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### 3. 公司数据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盈利指标：营收/净利润同比/环比、毛利率变动、ROE变化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并购数据：交易金额占市值比例、业绩承诺金额、审批进度（如证监会反馈意见）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管理层数据：变动后战略落地进度、核心团队稳定性（人员流失率）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财务健康度：资产负债率、经营活动现金流净额、商誉减值风险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### 4. 市场数据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资金数据：北向资金单日/累计净流入、融资融券余额变化、龙虎榜净买入额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估值数据：PE/PB分位（近1年/3年/5年）、估值溢价率（相对行业均值）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技术面数据：成交量（量比/换手率）、均线偏离度、MACD金叉/死叉信号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情绪数据：涨跌家数比、赚钱效应（涨停家数/跌停家数）、舆情情绪指数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### 5. 外部环境数据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国际市场数据：美股道琼斯/纳斯达克指数涨幅、美元指数、原油/黄金价格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地缘政治风险指数：跟踪风险事件影响程度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## 四、涨跌幅度研判（结果输出）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### 1. 上涨幅度分级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大幅上涨（20%+）：核心驱动明确（如重磅利好政策/并购落地）+ 基本面显著改善 + 资金/情绪共振 + 成交量持续放大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中等上涨（10%-20%）：单一核心驱动（如流动性宽松/行业景气度提升）+ 资金持续流入 + 情绪乐观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小幅上涨（0%-10%）：驱动因素较弱（如业绩略超预期/小幅资金流入）+ 市场情绪平稳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### 2. 下跌幅度分级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大幅下跌（20%+）：核心负面驱动（如并购失败/违规处罚/行业政策收紧）+ 基本面恶化 + 资金恐慌出逃 + 情绪崩溃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中等下跌（10%-20%）：单一核心利空（如业绩不及预期/管理层动荡）+ 资金持续流出 + 情绪悲观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小幅下跌（0%-10%）：负面驱动有限（如短期资金获利了结/小范围利空）+ 市场情绪消化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### 3. 横盘震荡（±5%内）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多空因素相互抵消（如利好与利空并存）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驱动因素不确定性高（如并购审批进度不明/政策落地待定）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资金流入流出平衡 + 市场情绪观望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</w:p>
        </w:tc>
      </w:tr>
    </w:tbl>
    <w:p w14:paraId="71039F9D">
      <w:pPr>
        <w:spacing w:before="120" w:after="120" w:line="288" w:lineRule="auto"/>
        <w:ind w:left="0"/>
        <w:jc w:val="left"/>
      </w:pP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88DA21D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E632BF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8"/>
  <w:documentProtection w:enforcement="0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6FF9958"/>
    <w:rsid w:val="75FD6BFA"/>
    <w:rsid w:val="FB53C1B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TotalTime>43</TotalTime>
  <ScaleCrop>false</ScaleCrop>
  <LinksUpToDate>false</LinksUpToDate>
  <Application>WPS Office_12.1.23540.23540_F1E327BC-269C-435d-A152-05C5408002CA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2025-12-06T20:01:00Z</dcterms:created>
  <dc:creator>Apache POI</dc:creator>
  <cp:lastModifiedBy>跑图君</cp:lastModifiedBy>
  <dcterms:modified xsi:type="dcterms:W3CDTF">2025-12-14T12:49:38Z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2052-12.1.23540.23540</vt:lpwstr>
  </property>
  <property fmtid="{D5CDD505-2E9C-101B-9397-08002B2CF9AE}" pid="3" name="ICV">
    <vt:lpwstr>845842033E35F5F007E333696BB8A9C6_43</vt:lpwstr>
  </property>
</Properties>
</file>