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Аналитическая записка по закупке ПИР</w:t>
      </w:r>
    </w:p>
    <w:p>
      <w:pPr>
        <w:jc w:val="center"/>
      </w:pPr>
      <w:r>
        <w:rPr>
          <w:b/>
          <w:sz w:val="22"/>
        </w:rPr>
        <w:t>Капитальный ремонт здания «Галерея на Каширке»</w:t>
        <w:br/>
        <w:t>г. Москва, ул. Академика Миллионщикова, д. 35, корп. 5</w:t>
      </w:r>
    </w:p>
    <w:p>
      <w:pPr>
        <w:jc w:val="center"/>
      </w:pPr>
      <w:r>
        <w:t>Подготовлено для ГИПа и руководителя. Дата анализа: 18.06.2026</w:t>
      </w:r>
    </w:p>
    <w:p>
      <w:pPr>
        <w:pStyle w:val="Heading1"/>
      </w:pPr>
      <w:r>
        <w:t>1. Резюме для решения</w:t>
      </w:r>
    </w:p>
    <w:p>
      <w:r>
        <w:t>Закупка включает полный цикл ПИР для капитального ремонта действующего культурного объекта площадью 1 521,5 м2: обследование, инженерные изыскания, СТУ по пожарной безопасности, проектную и рабочую документацию, интерьеры, наружные сети, согласования, государственную экспертизу проектной документации/изысканий и достоверности сметной стоимости. НМЦК по загруженным расчетам - 27 132 754,15 руб. с НДС, или 22 239 962,42 руб. без НДС. Удельная НМЦК - около 17 832,90 руб./м2 с НДС.</w:t>
      </w:r>
    </w:p>
    <w:p>
      <w:pPr>
        <w:pStyle w:val="ListBullet"/>
      </w:pPr>
      <w:r>
        <w:t>Вывод: участие возможно, но без агрессивного снижения. Рекомендуемый коммерческий диапазон - близко к НМЦК; скидка более 3-5% допустима только после фиксации исходных данных, ТУ, состава экспертизы и субподрядных цен по СТУ/обследованию.</w:t>
      </w:r>
    </w:p>
    <w:p>
      <w:pPr>
        <w:pStyle w:val="ListBullet"/>
      </w:pPr>
      <w:r>
        <w:t>Главный календарный риск - получение положительного заключения экспертизы к 300-му дню и полный выпуск РД/согласований к 330-му дню. 30 календарных дней на финальную РД реалистичны только при параллельной разработке РД с этапа 2.</w:t>
      </w:r>
    </w:p>
    <w:p>
      <w:pPr>
        <w:pStyle w:val="ListBullet"/>
      </w:pPr>
      <w:r>
        <w:t>Главный технический риск - неопределенность исходных данных, ТУ/мощностей и пожарных решений: СТУ, расчет пожарного риска, специальные системы пожаротушения для фондохранилищ.</w:t>
      </w:r>
    </w:p>
    <w:p>
      <w:pPr>
        <w:pStyle w:val="ListBullet"/>
      </w:pPr>
      <w:r>
        <w:t>Главный финансовый риск - отсутствие аванса, твердая цена, обеспечение исполнения 20% НМЦК и 5-летняя гарантия на документацию.</w:t>
      </w:r>
    </w:p>
    <w:p>
      <w:pPr>
        <w:pStyle w:val="Heading1"/>
      </w:pPr>
      <w:r>
        <w:t>2. Что входит в предмет и результат</w:t>
      </w:r>
    </w:p>
    <w:p>
      <w:r>
        <w:t>По ТЗ Генеральный проектировщик выполняет обследование технического состояния, инженерные изыскания, проектную и рабочую документацию, сметную документацию, все необходимые согласования и получение положительных заключений государственной экспертизы. Результаты включают заключение обследования, отчет по изысканиям, согласованные ПД/РД, сметы, положительные заключения экспертизы и акты согласований.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8352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Содержание / вывод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Объект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Здание выставочного зала / учреждение культуры; капремонт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Площадь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1 521,5 м2; площадь фасадов в ЗП - 800 м2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Конструктивная схема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Каркасно-стеновая; перекрытия - сборные ж/б многопустотные плиты 220 мм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Стадии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Инженерные изыскания, обследование, ПД, РД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Исходные данные от заказчика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Свидетельство о госрегистрации права на здание, экспликация, планы БТИ; прочее собирает подрядчик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Гарантия на документацию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 лет с даты подписания электронного документа о приемке</w:t>
            </w:r>
          </w:p>
        </w:tc>
      </w:tr>
    </w:tbl>
    <w:p>
      <w:r>
        <w:t>Замечание по качеству исходных данных: в ТЗ есть несогласованности - год ввода указан как 1984 в показателях объекта и как 1987 в задании на проектирование; строительный объем приведен как «? 4600,0 м3»; отдельно нужно подтвердить расчетное постоянное пребывание людей, так как объект является выставочным залом с посетителями и персоналом.</w:t>
      </w:r>
    </w:p>
    <w:p>
      <w:r>
        <w:br w:type="page"/>
      </w:r>
    </w:p>
    <w:p>
      <w:pPr>
        <w:pStyle w:val="Heading1"/>
      </w:pPr>
      <w:r>
        <w:t>3. Анализ сроков</w:t>
      </w:r>
    </w:p>
    <w:p>
      <w:r>
        <w:t>Контрактный срок - 330 календарных дней с даты заключения контракта. Работы разбиты на 3 этапа: 1-й этап - 1-130 дни; 2-й этап - 131-300 дни; 3-й этап - 301-330 дни. Приемка по этапам выполняется через электронный документ; заказчик рассматривает результаты в течение 5 рабочих дней, замечания должны устраняться в срок из отказа, но не позднее 3 календарных дней, что почти не оставляет резерва на крупные замечания.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648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1224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4464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4608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Оценка ГИПа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1-130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Обследования и изыскания, СТУ, часть ПД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Согласованные СТУ и результаты обследования/изысканий - критический вход в ПД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131-300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РД по интерьерам, ПД, наружные сети, колористика, госэкспертиза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К дню 300 уже должно быть положительное заключение; заходить в экспертизу нужно ориентировочно к дню 210-220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301-330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Полный комплект РД, наружные сети, все согласования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30 дней недостаточно без параллельного выпуска РД на этапах 1-2</w:t>
            </w:r>
          </w:p>
        </w:tc>
      </w:tr>
    </w:tbl>
    <w:p>
      <w:pPr>
        <w:pStyle w:val="ListBullet"/>
      </w:pPr>
      <w:r>
        <w:t>Реалистичный план: к 45-му дню закрыть обследования и обмеры; к 80-му дню утвердить функциональные и планировочные решения; к 120-130-му дню иметь СТУ и часть ПД; к 210-220-му дню подать ПД/ИГИ/сметы в экспертизу; к 260-му дню иметь 70-80% РД; к 300-му дню получить положительное заключение.</w:t>
      </w:r>
    </w:p>
    <w:p>
      <w:pPr>
        <w:pStyle w:val="ListBullet"/>
      </w:pPr>
      <w:r>
        <w:t>Буфер на повторную экспертизу, получение ТУ, Москомархитектуру и согласование с Пользователем в явном виде отсутствует. Его надо создавать организационно, иначе этап 3 становится невыполнимым.</w:t>
      </w:r>
    </w:p>
    <w:p>
      <w:pPr>
        <w:pStyle w:val="Heading1"/>
      </w:pPr>
      <w:r>
        <w:t>4. Анализ сметы и НМЦК</w:t>
      </w:r>
    </w:p>
    <w:p>
      <w:r>
        <w:t>Оба загруженных файла Excel - «Сметы - ПД...» и «Расчет НМЦК...» - совпадают по значениям и формулам. НМЦК принята без инфляционного повышения (К=1,0) и распределена на 2026/2027 годы: 5,59 млн руб. с НДС на 2026 год и 21,54 млн руб. с НДС на 2027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5040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2016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Без НДС, руб.</w:t>
            </w:r>
          </w:p>
        </w:tc>
        <w:tc>
          <w:tcPr>
            <w:tcW w:type="dxa" w:w="1152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Доля</w:t>
            </w:r>
          </w:p>
        </w:tc>
        <w:tc>
          <w:tcPr>
            <w:tcW w:type="dxa" w:w="2016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С НДС, руб.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Инженерно-геодезические изыскания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43 154,84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0,2%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52 648,90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Инженерно-техническое обследование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1 032 911,55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4,6%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1 260 152,09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Проектная документация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7 207 555,74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32,4%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8 793 218,00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Рабочая документация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8 781 928,95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39,5%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10 713 953,32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Рабочая документация по интерьерам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1 297 236,89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5,8%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1 582 629,01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СТУ по пожарной безопасности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2 699 658,45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12,1%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3 293 583,31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Наружные инженерные сети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1 177 516,00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5,3%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1 436 569,52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Итого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22 239 962,42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100,0%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27 132 754,15</w:t>
            </w:r>
          </w:p>
        </w:tc>
      </w:tr>
    </w:tbl>
    <w:p>
      <w:r>
        <w:t>Наблюдения по смете:</w:t>
      </w:r>
    </w:p>
    <w:p>
      <w:pPr>
        <w:pStyle w:val="ListBullet"/>
      </w:pPr>
      <w:r>
        <w:t>Основная стоимость сосредоточена в ПД и РД: вместе около 71,9% НМЦК без НДС, что соответствует большому объему инженерных систем и рабочей документации.</w:t>
      </w:r>
    </w:p>
    <w:p>
      <w:pPr>
        <w:pStyle w:val="ListBullet"/>
      </w:pPr>
      <w:r>
        <w:t>СТУ по пожарной безопасности - 2,70 млн руб. без НДС, или 12,1% НМЦК без НДС. Это существенный и оправданный блок, но он должен быть закрыт отдельным ответственным субподрядом/экспертом.</w:t>
      </w:r>
    </w:p>
    <w:p>
      <w:pPr>
        <w:pStyle w:val="ListBullet"/>
      </w:pPr>
      <w:r>
        <w:t>Геодезия в смете - 43,2 тыс. руб. без НДС при площади 0,3 га. Практически это может оказаться ниже реальной закупочной цены, если потребуется актуализация подземных коммуникаций, регистрация, выезды и взаимодействие с эксплуатирующими организациями.</w:t>
      </w:r>
    </w:p>
    <w:p>
      <w:pPr>
        <w:pStyle w:val="ListBullet"/>
      </w:pPr>
      <w:r>
        <w:t>В смете не выделены отдельными строками возможные платежи/госпошлины за экспертизу, дополнительные ТУ/подключения, авторский надзор после ПИР, повторные согласования по инициативе заказчика. Это требует уточнения до подачи предложения.</w:t>
      </w:r>
    </w:p>
    <w:p>
      <w:r>
        <w:br w:type="page"/>
      </w:r>
    </w:p>
    <w:p>
      <w:pPr>
        <w:pStyle w:val="Heading1"/>
      </w:pPr>
      <w:r>
        <w:t>5. Оценка себестоимости</w:t>
      </w:r>
    </w:p>
    <w:p>
      <w:r>
        <w:t>Ниже дана управленческая оценка себестоимости без НДС. Это не замена нормативной смете, а бюджет исполнения для решения об участии. Предположения: штатная проектная команда + субподряд по СТУ/пожарным расчетам, обследованию/геодезии и при необходимости отдельным инженерным блокам; без учета НДС; с резервом на риски и внутренними накладными.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4752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736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Базовый сценарий</w:t>
            </w:r>
          </w:p>
        </w:tc>
        <w:tc>
          <w:tcPr>
            <w:tcW w:type="dxa" w:w="2736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Рисковый сценарий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Прямые производственные затраты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14 750 000,00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20 050 000,00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С учетом резерва и накладных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17 841 600,00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24 902 100,00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Результат при НМЦК без НДС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4 398 362,42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-2 662 137,58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Маржа при НМЦК без НДС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19,8%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-12,0%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Цена с НДС для маржи 15%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25 607 943,53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35 741 837,65</w:t>
            </w:r>
          </w:p>
        </w:tc>
      </w:tr>
    </w:tbl>
    <w:p>
      <w:r>
        <w:t>Коммерческий вывод: при базовой организации работ НМЦК дает нормальный, но не избыточный запас. При материализации рисков по ТУ, СТУ, экспертизе, климату и перепроектированию проект уходит в зону отрицательной маржи даже при цене НМЦК. Поэтому нельзя входить в закупку с существенным дисконтом без письменных разъяснений и зафиксированных субподрядных цен.</w:t>
      </w:r>
    </w:p>
    <w:p>
      <w:pPr>
        <w:pStyle w:val="Heading1"/>
      </w:pPr>
      <w:r>
        <w:t>6. Тонкие места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504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88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Тонкое место</w:t>
            </w:r>
          </w:p>
        </w:tc>
        <w:tc>
          <w:tcPr>
            <w:tcW w:type="dxa" w:w="4320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Почему важно</w:t>
            </w:r>
          </w:p>
        </w:tc>
        <w:tc>
          <w:tcPr>
            <w:tcW w:type="dxa" w:w="3744"/>
            <w:vAlign w:val="top"/>
            <w:shd w:fill="1F4E7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Срок экспертизы и РД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Положительное заключение к дню 300, полный РД к дню 330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Вести РД параллельно; internal freeze решений к дню 160-180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СТУ и пожарный риск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СТУ, расчет пожарного риска, категории помещений, спец. пожаротушение фондов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Назначить спецподрядчика до старта, согласовать пожарную концепцию до эскизов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ТУ и инженерные мощности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Необходимость ТУ определяется в проектировании, но получает подрядчик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Ранний расчет нагрузок и запрос ТУ/лимитов в первые 10 дней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Исходные данные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От заказчика прямо названы только право на здание, экспликация, планы БТИ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Реестр недостающей ИРД и официальные RFI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Действующий объект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Обследования могут ограничиваться режимом работы галереи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Письменный график доступа, порядок вскрытий, ответственные лица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Музейное хранение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Климат 22-25 C, влажность 45-55%, особое пожаротушение, хранение до 1000 предметов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ТЗ на технологию хранения и режимы от Пользователя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Финансовые условия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Нет аванса, обеспечение 20%, твердая цена, 5-летняя гарантия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Гарантия банка, кассовый план, лимит скидки</w:t>
            </w:r>
          </w:p>
        </w:tc>
      </w:tr>
    </w:tbl>
    <w:p>
      <w:pPr>
        <w:pStyle w:val="Heading1"/>
      </w:pPr>
      <w:r>
        <w:t>7. Недостающая информация / запросы заказчику</w:t>
      </w:r>
    </w:p>
    <w:p>
      <w:pPr>
        <w:pStyle w:val="ListNumber"/>
      </w:pPr>
      <w:r>
        <w:t>Подтвердить год ввода здания: в ТЗ встречаются 1984 и 1987.</w:t>
      </w:r>
    </w:p>
    <w:p>
      <w:pPr>
        <w:pStyle w:val="ListNumber"/>
      </w:pPr>
      <w:r>
        <w:t>Подтвердить строительный объем: в ТЗ указан «? 4600,0 м3».</w:t>
      </w:r>
    </w:p>
    <w:p>
      <w:pPr>
        <w:pStyle w:val="ListNumber"/>
      </w:pPr>
      <w:r>
        <w:t>Передать действующие ТУ, договоры технологического присоединения, лимиты и фактические нагрузки по теплу, воде, канализации, электрике, связи.</w:t>
      </w:r>
    </w:p>
    <w:p>
      <w:pPr>
        <w:pStyle w:val="ListNumber"/>
      </w:pPr>
      <w:r>
        <w:t>Передать существующую проектную/исполнительную документацию по конструкциям и инженерным системам, паспорта оборудования, акты обследований.</w:t>
      </w:r>
    </w:p>
    <w:p>
      <w:pPr>
        <w:pStyle w:val="ListNumber"/>
      </w:pPr>
      <w:r>
        <w:t>Передать/подтвердить правоустанавливающие документы на земельный участок и сведения о сетях/подземных коммуникациях.</w:t>
      </w:r>
    </w:p>
    <w:p>
      <w:pPr>
        <w:pStyle w:val="ListNumber"/>
      </w:pPr>
      <w:r>
        <w:t>Уточнить режим работы учреждения и допустимые окна для обследований, вскрытий, обмеров, фотофиксации и доступа на кровлю/в подвалы.</w:t>
      </w:r>
    </w:p>
    <w:p>
      <w:pPr>
        <w:pStyle w:val="ListNumber"/>
      </w:pPr>
      <w:r>
        <w:t>Уточнить функциональную программу: расчетные посетители, персонал, рабочие места, требования к гардеробу, залам, хранилищам, мастерским.</w:t>
      </w:r>
    </w:p>
    <w:p>
      <w:pPr>
        <w:pStyle w:val="ListNumber"/>
      </w:pPr>
      <w:r>
        <w:t>Уточнить требования к музейному хранению: перечень экспонатов, температурно-влажностные режимы, пожаротушение, допустимые материалы.</w:t>
      </w:r>
    </w:p>
    <w:p>
      <w:pPr>
        <w:pStyle w:val="ListNumber"/>
      </w:pPr>
      <w:r>
        <w:t>Подтвердить необходимость и порядок разработки/согласования СТУ; указать согласующий орган и ожидаемые сроки.</w:t>
      </w:r>
    </w:p>
    <w:p>
      <w:pPr>
        <w:pStyle w:val="ListNumber"/>
      </w:pPr>
      <w:r>
        <w:t>Уточнить, включены ли платежи/госпошлины за государственную экспертизу и достоверность сметной стоимости в цену подрядчика.</w:t>
      </w:r>
    </w:p>
    <w:p>
      <w:pPr>
        <w:pStyle w:val="ListNumber"/>
      </w:pPr>
      <w:r>
        <w:t>Уточнить порядок заключения и оплаты договора авторского надзора, упомянутого в ТЗ.</w:t>
      </w:r>
    </w:p>
    <w:p>
      <w:pPr>
        <w:pStyle w:val="ListNumber"/>
      </w:pPr>
      <w:r>
        <w:t>Согласовать перечень внешних согласований и лицо, ответственное за получение исходных писем/доверенностей.</w:t>
      </w:r>
    </w:p>
    <w:p>
      <w:pPr>
        <w:pStyle w:val="Heading1"/>
      </w:pPr>
      <w:r>
        <w:t>8. Рекомендации ГИПу</w:t>
      </w:r>
    </w:p>
    <w:p>
      <w:pPr>
        <w:pStyle w:val="ListBullet"/>
      </w:pPr>
      <w:r>
        <w:t>До подписания или в первые 1-3 дня сформировать матрицу исходных данных: что есть, что требуется, кто выдает, крайний срок, влияние на график.</w:t>
      </w:r>
    </w:p>
    <w:p>
      <w:pPr>
        <w:pStyle w:val="ListBullet"/>
      </w:pPr>
      <w:r>
        <w:t>Назначить ответственных по критическим блокам: СТУ/ПБ, ОВиК/ИТП, ВК/НВК, ЭОМ, слаботочные/безопасность, сметы/экспертиза, интерьеры/технология музея.</w:t>
      </w:r>
    </w:p>
    <w:p>
      <w:pPr>
        <w:pStyle w:val="ListBullet"/>
      </w:pPr>
      <w:r>
        <w:t>Запустить обследования, обмеры, геодезию и фотофиксацию сразу после допуска на объект; отдельным актом фиксировать зоны без доступа.</w:t>
      </w:r>
    </w:p>
    <w:p>
      <w:pPr>
        <w:pStyle w:val="ListBullet"/>
      </w:pPr>
      <w:r>
        <w:t>Не ждать окончания экспертизы для РД: вести РД параллельно, но с управляемой фиксацией решений и журналом изменений.</w:t>
      </w:r>
    </w:p>
    <w:p>
      <w:pPr>
        <w:pStyle w:val="ListBullet"/>
      </w:pPr>
      <w:r>
        <w:t>Ввести еженедельный контроль критического пути: СТУ, ТУ, ПД/смета, колористика, экспертиза, РД.</w:t>
      </w:r>
    </w:p>
    <w:p>
      <w:pPr>
        <w:pStyle w:val="ListBullet"/>
      </w:pPr>
      <w:r>
        <w:t>В сметной части заранее требовать от разделов ВОР с формулами и ссылками на чертежи, иначе высокая вероятность замечаний экспертизы и заказчика.</w:t>
      </w:r>
    </w:p>
    <w:p>
      <w:pPr>
        <w:pStyle w:val="Heading1"/>
      </w:pPr>
      <w:r>
        <w:t>9. Рекомендации руководителю</w:t>
      </w:r>
    </w:p>
    <w:p>
      <w:pPr>
        <w:pStyle w:val="ListBullet"/>
      </w:pPr>
      <w:r>
        <w:t>Коммерчески участвовать только при подтвержденных ключевых субподрядных ценах и при ограничении дисконта. Базовая оценка себестоимости - около 17 841 600,00 руб. без НДС; рисковый сценарий - до 24 902 100,00 руб. без НДС.</w:t>
      </w:r>
    </w:p>
    <w:p>
      <w:pPr>
        <w:pStyle w:val="ListBullet"/>
      </w:pPr>
      <w:r>
        <w:t>Не замораживать обеспечение исполнения деньгами без необходимости: сумма обеспечения исполнения - 5 426 550,83 руб.; гарантийное обеспечение - 135 663,77 руб. Предпочтительна независимая гарантия с учетом комиссии в бюджете проекта.</w:t>
      </w:r>
    </w:p>
    <w:p>
      <w:pPr>
        <w:pStyle w:val="ListBullet"/>
      </w:pPr>
      <w:r>
        <w:t>В договоры с субподрядчиками включить сроки под график закупки, обязанность участия в экспертизе и исправления замечаний без отдельной оплаты, а также передачу исходников.</w:t>
      </w:r>
    </w:p>
    <w:p>
      <w:pPr>
        <w:pStyle w:val="ListBullet"/>
      </w:pPr>
      <w:r>
        <w:t>Решение о снижении цены принимать после тендерной стратегии. При базовой себестоимости ориентир цены для маржи 15% - около 25 607 943,53 руб. с НДС; при рисковом сценарии цена для такой маржи выше НМЦК, следовательно риски надо снять до торгов.</w:t>
      </w:r>
    </w:p>
    <w:p>
      <w:pPr>
        <w:pStyle w:val="Heading1"/>
      </w:pPr>
      <w:r>
        <w:t>10. Источники анализа</w:t>
      </w:r>
    </w:p>
    <w:p>
      <w:pPr>
        <w:pStyle w:val="ListBullet"/>
      </w:pPr>
      <w:r>
        <w:t>Проект_контракта_17135071-1.pdf - сроки, приемка, оплата, обеспечение, ответственность, календарный план.</w:t>
      </w:r>
    </w:p>
    <w:p>
      <w:pPr>
        <w:pStyle w:val="ListBullet"/>
      </w:pPr>
      <w:r>
        <w:t>Техническое_задание_17135071-1.pdf - состав работ, объектные показатели, требования к ПД/РД/сметам/экспертизе, инженерные и технологические требования.</w:t>
      </w:r>
    </w:p>
    <w:p>
      <w:pPr>
        <w:pStyle w:val="ListBullet"/>
      </w:pPr>
      <w:r>
        <w:t>Сметы - ПД на КР Галерея на Каширке.xlsx и Расчет НМЦК - ПД на КР Галерея на Каширке.xlsx - структура НМЦК и нормативные расчеты. Файлы совпадают по значениям и формулам.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Аналитическая записка по ПИР - Галерея на Каширке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8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