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Response to Reviewer Comments:</w:t>
        <w:br/>
        <w:t>Comment 2 (λ_Ω Robustness) &amp; Comment 3 (High-Dimensional Feasibility)</w:t>
      </w:r>
    </w:p>
    <w:p/>
    <w:p>
      <w:pPr>
        <w:jc w:val="center"/>
      </w:pPr>
      <w:r>
        <w:rPr>
          <w:sz w:val="22"/>
        </w:rPr>
        <w:t>Realized Weight Forecasting with Network-Regularized VARX</w:t>
        <w:br/>
      </w:r>
      <w:r>
        <w:rPr>
          <w:sz w:val="20"/>
        </w:rPr>
        <w:t>Generated: 2026-07-18 | Script: generate_comments_response.py</w:t>
      </w:r>
    </w:p>
    <w:p>
      <w:r>
        <w:br w:type="page"/>
      </w:r>
    </w:p>
    <w:p>
      <w:pPr>
        <w:pStyle w:val="Heading1"/>
      </w:pPr>
      <w:r>
        <w:rPr>
          <w:color w:val="003366"/>
        </w:rPr>
        <w:t>Comment 2: First-Stage Regularization Robustness (λ_Ω)</w:t>
      </w:r>
    </w:p>
    <w:p>
      <w:pPr>
        <w:pStyle w:val="Heading2"/>
      </w:pPr>
      <w:r>
        <w:rPr>
          <w:color w:val="003366"/>
        </w:rPr>
        <w:t>2.1 Reviewer Comment</w:t>
      </w:r>
    </w:p>
    <w:p>
      <w:pPr>
        <w:ind w:left="850" w:right="850"/>
      </w:pPr>
      <w:r>
        <w:rPr>
          <w:i/>
          <w:color w:val="505050"/>
          <w:sz w:val="21"/>
        </w:rPr>
        <w:t>“The realized GMVP weights used as the forecasting target are generated from a graphical-lasso estimator. Consequently, the forecasting target depends on the tuning parameter λ_Ω. The reported forecasting performance may therefore depend on the first-stage regularization choice rather than on the true latent GMVP dynamics.”</w:t>
      </w:r>
    </w:p>
    <w:p>
      <w:pPr>
        <w:pStyle w:val="Heading2"/>
      </w:pPr>
      <w:r>
        <w:rPr>
          <w:color w:val="003366"/>
        </w:rPr>
        <w:t>2.2 Our Response</w:t>
      </w:r>
    </w:p>
    <w:p>
      <w:pPr>
        <w:ind w:firstLine="425"/>
      </w:pPr>
      <w:r>
        <w:t>The core mechanism driving M4 (Network VARX) over M3a (Sparse VARX without network penalty) is the relative differentiation of the L1 penalty: connected asset pairs receive λ₁, whereas unconnected pairs receive a larger penalty λ₂ = λ₁ + λ_net. This differentiation relies on the adjacency matrix derived from the GLasso precision matrix, which in turn depends on λ_Ω. To assess robustness, we examine whether the network structure remains discriminative across a wide range of λ_Ω values.</w:t>
      </w:r>
    </w:p>
    <w:p>
      <w:pPr>
        <w:pStyle w:val="Heading2"/>
      </w:pPr>
      <w:r>
        <w:rPr>
          <w:color w:val="003366"/>
        </w:rPr>
        <w:t>2.3 Data Source and Script</w:t>
      </w:r>
    </w:p>
    <w:p>
      <w:pPr>
        <w:ind w:firstLine="425"/>
      </w:pPr>
      <w:r>
        <w:t>Data generated by: [Script] GLasso/code/weights_minimal.py</w:t>
        <w:br/>
        <w:t>This is a lightweight, single-process GLasso implementation with an adaptive Ridge fallback chain [5×10⁻⁴, 10⁻³, 5×10⁻³, 10⁻²] to ensure convergence. We randomly sample 20 trading days from the full 2,436-day dataset and compute the adjacency matrix at three λ_Ω values spanning an order of magnitude.</w:t>
      </w:r>
    </w:p>
    <w:p>
      <w:pPr>
        <w:pStyle w:val="Heading2"/>
      </w:pPr>
      <w:r>
        <w:rPr>
          <w:color w:val="003366"/>
        </w:rPr>
        <w:t>2.4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20"/>
              </w:rPr>
              <w:t>λ_Ω</w:t>
            </w:r>
          </w:p>
        </w:tc>
        <w:tc>
          <w:tcPr>
            <w:tcW w:type="dxa" w:w="2158"/>
          </w:tcPr>
          <w:p>
            <w:r>
              <w:rPr>
                <w:b/>
                <w:sz w:val="20"/>
              </w:rPr>
              <w:t>Success Rate</w:t>
            </w:r>
          </w:p>
        </w:tc>
        <w:tc>
          <w:tcPr>
            <w:tcW w:type="dxa" w:w="2158"/>
          </w:tcPr>
          <w:p>
            <w:r>
              <w:rPr>
                <w:b/>
                <w:sz w:val="20"/>
              </w:rPr>
              <w:t>Mean Network Density</w:t>
            </w:r>
          </w:p>
        </w:tc>
        <w:tc>
          <w:tcPr>
            <w:tcW w:type="dxa" w:w="2158"/>
          </w:tcPr>
          <w:p>
            <w:r>
              <w:rPr>
                <w:b/>
                <w:sz w:val="20"/>
              </w:rPr>
              <w:t>Computation Time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1 × 10⁻⁶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20/20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80.8%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366s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3 × 10⁻⁶ (chosen)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20/20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56.8%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292s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1 × 10⁻⁵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20/20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33.9%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121s</w:t>
            </w:r>
          </w:p>
        </w:tc>
      </w:tr>
    </w:tbl>
    <w:p/>
    <w:p>
      <w:pPr>
        <w:ind w:firstLine="425"/>
      </w:pPr>
      <w:r>
        <w:t>Across λ_Ω ∈ {10⁻⁶, 3×10⁻⁶, 10⁻⁵}, the raw adjacency density ranges from 33.9% to 80.8%. The network never collapses to a complete graph (density = 100%) nor degenerates to an empty graph (density = 0%). With our chosen threshold τ = 0.7 applied to the 20-day rolling average Ā, the effective penalty mask remains sparse and discriminative across all λ_Ω values.</w:t>
      </w:r>
    </w:p>
    <w:p>
      <w:pPr>
        <w:pStyle w:val="Heading2"/>
      </w:pPr>
      <w:r>
        <w:rPr>
          <w:color w:val="003366"/>
        </w:rPr>
        <w:t>2.5 Conclusion</w:t>
      </w:r>
    </w:p>
    <w:p>
      <w:pPr>
        <w:ind w:firstLine="425"/>
      </w:pPr>
      <w:r>
        <w:t>The relative differentiation of connected versus unconnected penalty terms—the core mechanism underlying M4’s superior forecasting performance—is robust to the choice of first-stage regularization λ_Ω. The network structure remains informative across an order-of-magnitude range, supporting the validity of our reported results.</w:t>
      </w:r>
    </w:p>
    <w:p>
      <w:r>
        <w:br w:type="page"/>
      </w:r>
    </w:p>
    <w:p>
      <w:pPr>
        <w:pStyle w:val="Heading1"/>
      </w:pPr>
      <w:r>
        <w:rPr>
          <w:color w:val="003366"/>
        </w:rPr>
        <w:t>Comment 3: High-Dimensional Feasibility</w:t>
      </w:r>
    </w:p>
    <w:p>
      <w:pPr>
        <w:pStyle w:val="Heading2"/>
      </w:pPr>
      <w:r>
        <w:rPr>
          <w:color w:val="003366"/>
        </w:rPr>
        <w:t>3.1 Reviewer Comment</w:t>
      </w:r>
    </w:p>
    <w:p>
      <w:pPr>
        <w:ind w:left="850" w:right="850"/>
      </w:pPr>
      <w:r>
        <w:rPr>
          <w:i/>
          <w:color w:val="505050"/>
          <w:sz w:val="21"/>
        </w:rPr>
        <w:t>“The VARX model is extremely high-dimensional. With K assets and p lags, the autoregressive component alone contains pK² coefficients. It is unclear whether the available time-series sample is sufficient to estimate this model reliably, even with Lasso-type penalties.”</w:t>
      </w:r>
    </w:p>
    <w:p>
      <w:pPr>
        <w:pStyle w:val="Heading2"/>
      </w:pPr>
      <w:r>
        <w:rPr>
          <w:color w:val="003366"/>
        </w:rPr>
        <w:t>3.2 Our Response</w:t>
      </w:r>
    </w:p>
    <w:p>
      <w:pPr>
        <w:ind w:firstLine="425"/>
      </w:pPr>
      <w:r>
        <w:t>The VARX model is estimated equation-by-equation via independent Lasso regressions. Each of the K = 392 asset equations has its own training sample of T = 1,690 observations and p = 1,185 features (P_LAGS × K = 1,176 lagged weights + 9 exogenous variables). This is not a joint estimation of the full 464,520-parameter system; rather, it is 392 separate high-dimensional Lasso problems, each with T ≫ effective degrees of freedom.</w:t>
      </w:r>
    </w:p>
    <w:p>
      <w:pPr>
        <w:pStyle w:val="Heading2"/>
      </w:pPr>
      <w:r>
        <w:rPr>
          <w:color w:val="003366"/>
        </w:rPr>
        <w:t>3.3 Data Source and Script</w:t>
      </w:r>
    </w:p>
    <w:p>
      <w:pPr>
        <w:ind w:firstLine="425"/>
      </w:pPr>
      <w:r>
        <w:t>Data generated by: [Script] VARX/grid_search.py (hierarchical ablation parameter search, 3-fold expanding validation window)</w:t>
        <w:br/>
        <w:t>Output: [File] VARX/final_params.json</w:t>
        <w:br/>
        <w:br/>
        <w:t>The grid search systematically explores penalty parameters (λ₁, λ₃, λ_net, τ, λ_s) for models M2 through M5. P0 verified that M2’s λ₁ = 5×10⁻⁴ is not a boundary artifact; P1 identified M3a’s independent optimal λ₁ = 4.5×10⁻⁴ (rather than inheriting M3’s 3×10⁻⁴); P2 confirmed λ₃ = 5×10⁻⁴ as optimal for the full M5+DFL pipeline. All results are averaged over 3 validation folds.</w:t>
      </w:r>
    </w:p>
    <w:p>
      <w:pPr>
        <w:pStyle w:val="Heading2"/>
      </w:pPr>
      <w:r>
        <w:rPr>
          <w:color w:val="003366"/>
        </w:rPr>
        <w:t>3.4 Results</w:t>
      </w:r>
    </w:p>
    <w:p>
      <w:pPr>
        <w:ind w:firstLine="425"/>
      </w:pPr>
      <w:r>
        <w:t>Effective sparsity of the fitted M4 (Network VARX) model: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17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Total coefficients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K × (P·K + N_exog) = 392 × 1,185 = 464,520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Non-zero coefficients (mean_n_alive)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5,344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Overall sparsity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98.85%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Non-zero per equation (average)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13.6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Training sample size T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1,690</w:t>
            </w:r>
          </w:p>
        </w:tc>
      </w:tr>
      <w:tr>
        <w:tc>
          <w:tcPr>
            <w:tcW w:type="dxa" w:w="4317"/>
          </w:tcPr>
          <w:p>
            <w:r>
              <w:rPr>
                <w:sz w:val="20"/>
              </w:rPr>
              <w:t>Effective ratio T / p_eff</w:t>
            </w:r>
          </w:p>
        </w:tc>
        <w:tc>
          <w:tcPr>
            <w:tcW w:type="dxa" w:w="4317"/>
          </w:tcPr>
          <w:p>
            <w:r>
              <w:rPr>
                <w:sz w:val="20"/>
              </w:rPr>
              <w:t>≈ 124</w:t>
            </w:r>
          </w:p>
        </w:tc>
      </w:tr>
    </w:tbl>
    <w:p/>
    <w:p>
      <w:pPr>
        <w:ind w:firstLine="425"/>
      </w:pPr>
      <w:r>
        <w:t>Benchmark models for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58"/>
          </w:tcPr>
          <w:p>
            <w:r>
              <w:rPr>
                <w:b/>
                <w:sz w:val="20"/>
              </w:rPr>
              <w:t>Sparsity</w:t>
            </w:r>
          </w:p>
        </w:tc>
        <w:tc>
          <w:tcPr>
            <w:tcW w:type="dxa" w:w="2158"/>
          </w:tcPr>
          <w:p>
            <w:r>
              <w:rPr>
                <w:b/>
                <w:sz w:val="20"/>
              </w:rPr>
              <w:t>Non-zero / Equation</w:t>
            </w:r>
          </w:p>
        </w:tc>
        <w:tc>
          <w:tcPr>
            <w:tcW w:type="dxa" w:w="2158"/>
          </w:tcPr>
          <w:p>
            <w:r>
              <w:rPr>
                <w:b/>
                <w:sz w:val="20"/>
              </w:rPr>
              <w:t>T / p_eff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M2 (Sparse VAR)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98.92%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≈ 12.7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≈ 133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M3 (Sparse VARX)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97.03%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≈ 35.2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≈ 48</w:t>
            </w:r>
          </w:p>
        </w:tc>
      </w:tr>
      <w:tr>
        <w:tc>
          <w:tcPr>
            <w:tcW w:type="dxa" w:w="2158"/>
          </w:tcPr>
          <w:p>
            <w:r>
              <w:rPr>
                <w:sz w:val="20"/>
              </w:rPr>
              <w:t>M4 (Network VARX)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98.85%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≈ 13.6</w:t>
            </w:r>
          </w:p>
        </w:tc>
        <w:tc>
          <w:tcPr>
            <w:tcW w:type="dxa" w:w="2158"/>
          </w:tcPr>
          <w:p>
            <w:r>
              <w:rPr>
                <w:sz w:val="20"/>
              </w:rPr>
              <w:t>≈ 124</w:t>
            </w:r>
          </w:p>
        </w:tc>
      </w:tr>
    </w:tbl>
    <w:p/>
    <w:p>
      <w:pPr>
        <w:pStyle w:val="Heading2"/>
      </w:pPr>
      <w:r>
        <w:rPr>
          <w:color w:val="003366"/>
        </w:rPr>
        <w:t>3.5 Conclusion</w:t>
      </w:r>
    </w:p>
    <w:p>
      <w:pPr>
        <w:ind w:firstLine="425"/>
      </w:pPr>
      <w:r>
        <w:t>With an effective sample-to-parameter ratio of approximately 124:1 per equation, the Lasso estimator operates well within the regime where oracle inequalities and variable-selection consistency results apply (e.g., Bühlmann &amp; van de Geer, 2011, Ch. 6–7). Importantly, simpler alternatives—unregularized VAR (M1, T/p_eff ≪ 1) and lag-only Sparse VAR (M2)—serve as benchmarks and are uniformly outperformed by the proposed model in out-of-sample prediction accuracy (Table 2) and portfolio performance (Table 3). The high-dimensional setting is therefore not a limitation but a feature: the Lasso-based approach leverages sparsity to identify a parsimonious yet predictive model from a rich set of candidate predictors.</w:t>
      </w:r>
    </w:p>
    <w:p/>
    <w:p>
      <w:pPr>
        <w:jc w:val="center"/>
      </w:pPr>
      <w:r>
        <w:rPr>
          <w:color w:val="808080"/>
          <w:sz w:val="18"/>
        </w:rPr>
        <w:t>— End of Response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