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00000"/>
          <w:sz w:val="64"/>
          <w:szCs w:val="64"/>
        </w:rPr>
        <w:t xml:space="preserve">PromiseGuard</w:t>
      </w:r>
    </w:p>
    <w:p>
      <w:pPr>
        <w:spacing w:after="100" w:before="200"/>
        <w:jc w:val="center"/>
      </w:pPr>
      <w:r>
        <w:rPr>
          <w:i/>
          <w:iCs/>
          <w:sz w:val="28"/>
          <w:szCs w:val="28"/>
        </w:rPr>
        <w:t xml:space="preserve">AI-Powered Policy Compliance Auditing for Customer-Facing Teams</w:t>
      </w:r>
    </w:p>
    <w:p>
      <w:pPr>
        <w:spacing w:before="600"/>
        <w:jc w:val="center"/>
      </w:pPr>
      <w:r>
        <w:rPr>
          <w:b/>
          <w:bCs/>
          <w:sz w:val="24"/>
          <w:szCs w:val="24"/>
        </w:rPr>
        <w:t xml:space="preserve">Business Plan / Productization Plan</w:t>
      </w:r>
    </w:p>
    <w:p>
      <w:pPr>
        <w:spacing w:before="100"/>
        <w:jc w:val="center"/>
      </w:pPr>
      <w:r>
        <w:rPr>
          <w:sz w:val="22"/>
          <w:szCs w:val="22"/>
        </w:rPr>
        <w:t xml:space="preserve">MSBA 6461 — Large Language Models</w:t>
      </w:r>
    </w:p>
    <w:p>
      <w:pPr>
        <w:spacing w:before="100"/>
        <w:jc w:val="center"/>
      </w:pPr>
      <w:r>
        <w:rPr>
          <w:sz w:val="22"/>
          <w:szCs w:val="22"/>
        </w:rPr>
        <w:t xml:space="preserve">LLM Business Application Track</w:t>
      </w:r>
    </w:p>
    <w:p>
      <w:r>
        <w:br w:type="page"/>
      </w:r>
    </w:p>
    <w:p>
      <w:pPr>
        <w:pStyle w:val="Heading1"/>
        <w:spacing w:after="200" w:before="360"/>
      </w:pPr>
      <w:r>
        <w:rPr>
          <w:color w:val="000000"/>
        </w:rPr>
        <w:t xml:space="preserve">Executive Summary</w:t>
      </w:r>
    </w:p>
    <w:p>
      <w:pPr>
        <w:spacing w:after="200"/>
        <w:jc w:val="left"/>
      </w:pPr>
      <w:r>
        <w:t>PromiseGuard is an internal operations tool that audits sales and customer-support communications against a company’s policy documents. It identifies representative commitments that may conflict with policy before they contribute to refunds, escalations, margin erosion, or customer dissatisfaction. The prototype runs locally using an open-source language model served through Ollama, with no cloud infrastructure or usage-based API charges.</w:t>
      </w:r>
    </w:p>
    <w:p>
      <w:pPr>
        <w:spacing w:after="200"/>
        <w:jc w:val="left"/>
      </w:pPr>
      <w:r>
        <w:t>Representatives often make commitments during routine conversations—such as fee waivers, discounts, feature assurances, or service-level promises—that may fall outside approved policy. Detecting these statements typically requires managers to review communications manually, a process that becomes impractical at scale. PromiseGuard supports this review by flagging potential issues, citing relevant policy language, and explaining the basis for each classification.</w:t>
      </w:r>
    </w:p>
    <w:p>
      <w:pPr>
        <w:pStyle w:val="Heading1"/>
        <w:spacing w:after="200" w:before="360"/>
      </w:pPr>
      <w:r>
        <w:rPr>
          <w:color w:val="000000"/>
        </w:rPr>
        <w:t xml:space="preserve">1. Value Proposition</w:t>
      </w:r>
    </w:p>
    <w:p>
      <w:pPr>
        <w:spacing w:after="200"/>
        <w:jc w:val="left"/>
      </w:pPr>
      <w:r>
        <w:t>Unauthorized promises by sales and support representatives can create avoidable costs for B2B companies. Examples include unapproved fee waivers, discounts beyond authorized limits, unsupported price-lock guarantees, and service-level commitments for which an account is not eligible. Depending on the situation, these statements may lead to refunds, renegotiations, escalations, additional handling time, or reputational harm when a commitment cannot be honored.</w:t>
      </w:r>
    </w:p>
    <w:p>
      <w:pPr>
        <w:spacing w:after="200"/>
        <w:jc w:val="left"/>
      </w:pPr>
      <w:r>
        <w:t>PromiseGuard’s value proposition is to provide revenue and support operations leaders with clause-level visibility into potential policy violations contained in ordinary customer conversations. This allows managers to review and address questionable commitments earlier, rather than discovering them only after a customer complaint or financial reconciliation.</w:t>
      </w:r>
    </w:p>
    <w:p>
      <w:pPr>
        <w:spacing w:after="200"/>
        <w:jc w:val="left"/>
      </w:pPr>
      <w:r>
        <w:t>Illustrative scenario (not an observed result): assume a 50-person sales and support organization handles 2,000 customer interactions per month; 3% contain an unauthorized promise; and each such promise is associated with an average downstream cost of $80. Under those assumptions, the estimated exposure would be $4,800 per month, or $57,600 per year. The occurrence rate and unit cost are planning assumptions only; an actual business case would require validation using the customer’s historical interactions, concessions, refunds, and escalation costs.</w:t>
      </w:r>
    </w:p>
    <w:p>
      <w:pPr>
        <w:pStyle w:val="Heading1"/>
        <w:spacing w:after="200" w:before="360"/>
      </w:pPr>
      <w:r>
        <w:rPr>
          <w:color w:val="000000"/>
        </w:rPr>
        <w:t xml:space="preserve">2. Product Design &amp; User Experience</w:t>
      </w:r>
    </w:p>
    <w:p>
      <w:pPr>
        <w:pStyle w:val="Heading2"/>
        <w:spacing w:after="160" w:before="280"/>
      </w:pPr>
      <w:r>
        <w:rPr>
          <w:color w:val="000000"/>
        </w:rPr>
        <w:t xml:space="preserve">2.1 Core Workflow</w:t>
      </w:r>
    </w:p>
    <w:p>
      <w:pPr>
        <w:pStyle w:val="ListParagraph"/>
        <w:numPr>
          <w:ilvl w:val="0"/>
          <w:numId w:val="2"/>
        </w:numPr>
        <w:spacing w:after="100"/>
      </w:pPr>
      <w:r>
        <w:t xml:space="preserve">A revenue/support operations manager uploads the team's current policy document (once, updated as policy changes) and a batch of communication transcripts (call transcripts or chat logs, exported from existing tools).</w:t>
      </w:r>
    </w:p>
    <w:p>
      <w:pPr>
        <w:pStyle w:val="ListParagraph"/>
        <w:numPr>
          <w:ilvl w:val="0"/>
          <w:numId w:val="2"/>
        </w:numPr>
        <w:spacing w:after="100"/>
      </w:pPr>
      <w:r>
        <w:t>PromiseGuard extracts candidate promise statements from each transcript, compares them with relevant policy language, and returns one of three classifications: compliant, violation, or ambiguous. Each result includes a policy citation when applicable and a plain-language rationale.</w:t>
      </w:r>
    </w:p>
    <w:p>
      <w:pPr>
        <w:pStyle w:val="ListParagraph"/>
        <w:numPr>
          <w:ilvl w:val="0"/>
          <w:numId w:val="2"/>
        </w:numPr>
        <w:spacing w:after="100"/>
      </w:pPr>
      <w:r>
        <w:t>The manager reviews flagged items in a dashboard, prioritizes them by severity, and can record false positives to support subsequent prompt and workflow refinement.</w:t>
      </w:r>
    </w:p>
    <w:p>
      <w:pPr>
        <w:pStyle w:val="Heading2"/>
        <w:spacing w:after="160" w:before="280"/>
      </w:pPr>
      <w:r>
        <w:rPr>
          <w:color w:val="000000"/>
        </w:rPr>
        <w:t xml:space="preserve">2.2 Why Batch Review, Not Live Monitoring</w:t>
      </w:r>
    </w:p>
    <w:p>
      <w:pPr>
        <w:spacing w:after="200"/>
        <w:jc w:val="left"/>
      </w:pPr>
      <w:r>
        <w:t>PromiseGuard is deliberately designed as an asynchronous batch-review tool rather than a real-time call-monitoring system. This is an MVP scope decision based on the following considerations:</w:t>
      </w:r>
    </w:p>
    <w:p>
      <w:pPr>
        <w:pStyle w:val="ListParagraph"/>
        <w:numPr>
          <w:ilvl w:val="0"/>
          <w:numId w:val="2"/>
        </w:numPr>
        <w:spacing w:after="100"/>
      </w:pPr>
      <w:r>
        <w:t>Real-time monitoring would require live audio or streaming infrastructure and substantially stronger latency and reliability guarantees. That capability is outside the scope of the current prototype.</w:t>
      </w:r>
    </w:p>
    <w:p>
      <w:pPr>
        <w:pStyle w:val="ListParagraph"/>
        <w:numPr>
          <w:ilvl w:val="0"/>
          <w:numId w:val="2"/>
        </w:numPr>
        <w:spacing w:after="100"/>
      </w:pPr>
      <w:r>
        <w:t>Batch review aligns with established periodic compliance-review practices, allowing PromiseGuard to fit into an existing managerial workflow.</w:t>
      </w:r>
    </w:p>
    <w:p>
      <w:pPr>
        <w:pStyle w:val="ListParagraph"/>
        <w:numPr>
          <w:ilvl w:val="0"/>
          <w:numId w:val="2"/>
        </w:numPr>
        <w:spacing w:after="100"/>
      </w:pPr>
      <w:r>
        <w:t>The batch design keeps the MVP focused on the central product question: whether the system can produce useful, policy-grounded compliance flags for human review.</w:t>
      </w:r>
    </w:p>
    <w:p>
      <w:pPr>
        <w:spacing w:after="200"/>
        <w:jc w:val="left"/>
      </w:pPr>
      <w:r>
        <w:t>Real-time monitoring could be evaluated as a future roadmap option only after batch performance and customer workflows have been validated; it is not part of the current prototype.</w:t>
      </w:r>
    </w:p>
    <w:p>
      <w:pPr>
        <w:pStyle w:val="Heading2"/>
        <w:spacing w:after="160" w:before="280"/>
      </w:pPr>
      <w:r>
        <w:rPr>
          <w:color w:val="000000"/>
        </w:rPr>
        <w:t xml:space="preserve">2.3 Local-Only Architecture</w:t>
      </w:r>
    </w:p>
    <w:p>
      <w:pPr>
        <w:spacing w:after="200"/>
        <w:jc w:val="left"/>
      </w:pPr>
      <w:r>
        <w:t>The prototype runs locally using Llama 3.1 8B through Ollama rather than a cloud LLM API. This architecture offers practical advantages while introducing explicit trade-offs:</w:t>
      </w:r>
    </w:p>
    <w:p>
      <w:pPr>
        <w:pStyle w:val="ListParagraph"/>
        <w:numPr>
          <w:ilvl w:val="0"/>
          <w:numId w:val="2"/>
        </w:numPr>
        <w:spacing w:after="100"/>
      </w:pPr>
      <w:r>
        <w:t>Sales and support transcripts may contain sensitive customer information. Local processing can support organizations that prefer or require greater control over where this data is processed, subject to their own security, legal, and compliance reviews.</w:t>
      </w:r>
    </w:p>
    <w:p>
      <w:pPr>
        <w:pStyle w:val="ListParagraph"/>
        <w:numPr>
          <w:ilvl w:val="0"/>
          <w:numId w:val="2"/>
        </w:numPr>
        <w:spacing w:after="100"/>
      </w:pPr>
      <w:r>
        <w:t>Local inference avoids usage-based LLM API charges, which may support more predictable operating costs; total cost would still depend on hardware, deployment, maintenance, and support requirements.</w:t>
      </w:r>
    </w:p>
    <w:p>
      <w:pPr>
        <w:pStyle w:val="ListParagraph"/>
        <w:numPr>
          <w:ilvl w:val="0"/>
          <w:numId w:val="2"/>
        </w:numPr>
        <w:spacing w:after="100"/>
      </w:pPr>
      <w:r>
        <w:t>Trade-off: the selected 8B model may be less capable than larger or frontier models on subtle cases. The design therefore relies on careful prompting, structured outputs, evaluation, and human review, as discussed below.</w:t>
      </w:r>
    </w:p>
    <w:p>
      <w:pPr>
        <w:pStyle w:val="ListParagraph"/>
        <w:numPr>
          <w:ilvl w:val="0"/>
          <w:numId w:val="2"/>
        </w:numPr>
        <w:spacing w:after="100"/>
      </w:pPr>
      <w:r>
        <w:t>Local processing does not by itself constitute compliance with a specific framework, but it removes a common objection during security review and may shorten the path to certifications such as SOC 2 that regulated-adjacent buyers often require; pursuing formal certification is a roadmap item, not a current claim.</w:t>
      </w:r>
    </w:p>
    <w:p>
      <w:pPr>
        <w:pStyle w:val="Heading1"/>
        <w:spacing w:after="200" w:before="360"/>
      </w:pPr>
      <w:r>
        <w:rPr>
          <w:color w:val="000000"/>
        </w:rPr>
        <w:t xml:space="preserve">3. Technical Approach</w:t>
      </w:r>
    </w:p>
    <w:p>
      <w:pPr>
        <w:pStyle w:val="Heading2"/>
        <w:spacing w:after="160" w:before="280"/>
      </w:pPr>
      <w:r>
        <w:rPr>
          <w:color w:val="000000"/>
        </w:rPr>
        <w:t xml:space="preserve">3.1 Why an LLM (not rules or keyword matching)</w:t>
      </w:r>
    </w:p>
    <w:p>
      <w:pPr>
        <w:spacing w:after="200"/>
        <w:jc w:val="left"/>
      </w:pPr>
      <w:r>
        <w:t>Promises can be expressed in varied language—for example, “I can waive that for you,” “we’ll sort out the billing,” or “I can get you the enterprise rate.” They must also be evaluated against conditional policy language, such as a fee waiver permitted only once within a 12-month period and only for accounts in good standing. A purely keyword-based method would be unlikely to capture this semantic and conditional variation reliably. An LLM is appropriate because the task requires interpreting conversational intent and comparing it with rules written in natural language. A formal baseline comparison remains necessary before claiming superior performance over rules-based methods.</w:t>
      </w:r>
    </w:p>
    <w:p>
      <w:pPr>
        <w:pStyle w:val="Heading2"/>
        <w:spacing w:after="160" w:before="280"/>
      </w:pPr>
      <w:r>
        <w:rPr>
          <w:color w:val="000000"/>
        </w:rPr>
        <w:t xml:space="preserve">3.2 Pipeline</w:t>
      </w:r>
    </w:p>
    <w:p>
      <w:pPr>
        <w:pStyle w:val="ListParagraph"/>
        <w:numPr>
          <w:ilvl w:val="0"/>
          <w:numId w:val="2"/>
        </w:numPr>
        <w:spacing w:after="100"/>
      </w:pPr>
      <w:r>
        <w:t xml:space="preserve">Promise Extraction — the model scans a transcript and extracts candidate commitment statements with speaker and context.</w:t>
      </w:r>
    </w:p>
    <w:p>
      <w:pPr>
        <w:pStyle w:val="ListParagraph"/>
        <w:numPr>
          <w:ilvl w:val="0"/>
          <w:numId w:val="2"/>
        </w:numPr>
        <w:spacing w:after="100"/>
      </w:pPr>
      <w:r>
        <w:t>Policy Retrieval — relevant policy sections are identified for each candidate promise. The prototype’s policy document is short enough to provide in full as context; retrieval using embeddings is a possible future option for longer policy collections, not a current prototype feature.</w:t>
      </w:r>
    </w:p>
    <w:p>
      <w:pPr>
        <w:pStyle w:val="ListParagraph"/>
        <w:numPr>
          <w:ilvl w:val="0"/>
          <w:numId w:val="2"/>
        </w:numPr>
        <w:spacing w:after="100"/>
      </w:pPr>
      <w:r>
        <w:t xml:space="preserve">Compliance Comparison — the model compares each promise against the matched policy text and returns a verdict (compliant / violation / ambiguous), the cited clause, and a rationale.</w:t>
      </w:r>
    </w:p>
    <w:p>
      <w:pPr>
        <w:pStyle w:val="ListParagraph"/>
        <w:numPr>
          <w:ilvl w:val="0"/>
          <w:numId w:val="2"/>
        </w:numPr>
        <w:spacing w:after="100"/>
      </w:pPr>
      <w:r>
        <w:t xml:space="preserve">Report Generation — results are surfaced in a local web interface (Streamlit) for review.</w:t>
      </w:r>
    </w:p>
    <w:p>
      <w:pPr>
        <w:pStyle w:val="Heading2"/>
        <w:spacing w:after="160" w:before="280"/>
      </w:pPr>
      <w:r>
        <w:rPr>
          <w:color w:val="000000"/>
        </w:rPr>
        <w:t xml:space="preserve">3.3 A Notable Engineering Finding</w:t>
      </w:r>
    </w:p>
    <w:p>
      <w:pPr>
        <w:spacing w:after="200"/>
        <w:jc w:val="left"/>
      </w:pPr>
      <w:r>
        <w:t>During development, structured-output quality changed when the order of fields in the requested JSON schema was modified. When the rationale field preceded the verdict field, the model produced more coherent policy-grounded classifications in the development cases, particularly for ambiguous examples. This is an observed output-quality effect rather than a causal conclusion about the model’s internal reasoning. The finding informed the final prompt and schema design and demonstrates that constrained-output structure can affect the quality of generated results. A larger controlled evaluation would be needed to quantify the effect reliably.</w:t>
      </w:r>
    </w:p>
    <w:p>
      <w:pPr>
        <w:pStyle w:val="Heading2"/>
        <w:spacing w:after="160" w:before="280"/>
      </w:pPr>
      <w:r>
        <w:rPr>
          <w:color w:val="000000"/>
        </w:rPr>
        <w:t xml:space="preserve">3.4 Known Limitation</w:t>
      </w:r>
    </w:p>
    <w:p>
      <w:pPr>
        <w:spacing w:after="200"/>
        <w:jc w:val="left"/>
      </w:pPr>
      <w:r>
        <w:t>The local 8B model exhibited minor run-to-run variation on borderline language, including occasional classification of goodwill phrases such as “happy to have you back” as weakly ambiguous. Explicitly excluding relationship-oriented filler from the extraction prompt reduced this behavior in development testing, although some variability remained. Because the validation set is small, the magnitude of this effect has not been estimated statistically. Potential future mitigations include repeated-run agreement checks or evaluation of a larger locally hosted model, subject to hardware constraints.</w:t>
      </w:r>
    </w:p>
    <w:p>
      <w:pPr>
        <w:pStyle w:val="Heading2"/>
        <w:spacing w:after="160" w:before="280"/>
      </w:pPr>
      <w:r>
        <w:rPr>
          <w:color w:val="000000"/>
        </w:rPr>
        <w:t xml:space="preserve">3.5 Validation Finding: Circular Reasoning on Compliant Verdicts</w:t>
      </w:r>
    </w:p>
    <w:p>
      <w:pPr>
        <w:spacing w:after="200"/>
        <w:jc w:val="left"/>
      </w:pPr>
      <w:r>
        <w:t>A subsequent validation pass identified a more substantive issue than extraction noise. For some compliant outputs, the generated rationale merely restated the representative’s words instead of grounding the classification in the policy document. In those cases, the clause field was also returned as “none,” without clarifying whether no policy clause applied.</w:t>
      </w:r>
    </w:p>
    <w:p>
      <w:pPr>
        <w:spacing w:after="200"/>
        <w:jc w:val="left"/>
      </w:pPr>
      <w:r>
        <w:t>This finding matters because the product’s value depends on transparent policy grounding. The compliance prompt was therefore revised to require either a specific policy citation or an explicit statement that no policy clause governs the statement. In the development examples, this change removed the observed self-referential response pattern. Broader testing is still needed to determine how consistently the correction generalizes. The issue also demonstrates why validation must include compliant cases as well as violations and ambiguous examples.</w:t>
      </w:r>
    </w:p>
    <w:p>
      <w:pPr>
        <w:spacing w:after="200"/>
        <w:jc w:val="left"/>
      </w:pPr>
      <w:r>
        <w:t>A related failure surfaced while implementing this fix: an initial revision of the prompt required every verdict to include a specific clause justification, which caused the model to fabricate a plausible-sounding but factually incorrect description of a policy clause in at least one case, converting a previously reliable violation classification into a confident false compliant result across repeated identical runs. The instruction was scaled back to prohibit circular restatement without demanding exhaustive justification, which resolved the regression. This indicates that a prompt change intended to fix one failure mode can introduce a different one, and that each change should be re-validated against the full test set rather than only the case that motivated it.</w:t>
      </w:r>
    </w:p>
    <w:p>
      <w:pPr>
        <w:pStyle w:val="Heading1"/>
        <w:spacing w:after="200" w:before="360"/>
      </w:pPr>
      <w:r>
        <w:rPr>
          <w:color w:val="000000"/>
        </w:rPr>
        <w:t xml:space="preserve">4. Pricing Model</w:t>
      </w:r>
    </w:p>
    <w:p>
      <w:pPr>
        <w:spacing w:after="200"/>
        <w:jc w:val="left"/>
      </w:pPr>
      <w:r>
        <w:t>The proposed pricing model is based on the number of monitored agents, a structure that is straightforward for buyers to understand. The tiers below are planning proposals rather than validated willingness-to-pay estimates and would require customer discovery and pilot testing.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00"/>
      </w:tblGrid>
      <w:tr>
        <w:trPr>
          <w:tblHeader/>
        </w:trPr>
        <w:tc>
          <w:tcPr>
            <w:tcW w:type="dxa" w:w="2400"/>
            <w:shd w:fill="D9D9D9" w:color="auto" w:val="clear"/>
            <w:tcMar>
              <w:top w:type="dxa" w:w="100"/>
              <w:left w:type="dxa" w:w="120"/>
              <w:bottom w:type="dxa" w:w="100"/>
              <w:right w:type="dxa" w:w="120"/>
            </w:tcMar>
          </w:tcPr>
          <w:p>
            <w:r>
              <w:rPr>
                <w:b/>
                <w:bCs/>
              </w:rPr>
              <w:t xml:space="preserve">Tier</w:t>
            </w:r>
          </w:p>
        </w:tc>
        <w:tc>
          <w:tcPr>
            <w:tcW w:type="dxa" w:w="2400"/>
            <w:shd w:fill="D9D9D9" w:color="auto" w:val="clear"/>
            <w:tcMar>
              <w:top w:type="dxa" w:w="100"/>
              <w:left w:type="dxa" w:w="120"/>
              <w:bottom w:type="dxa" w:w="100"/>
              <w:right w:type="dxa" w:w="120"/>
            </w:tcMar>
          </w:tcPr>
          <w:p>
            <w:r>
              <w:rPr>
                <w:b/>
                <w:bCs/>
              </w:rPr>
              <w:t xml:space="preserve">Agents Covered</w:t>
            </w:r>
          </w:p>
        </w:tc>
        <w:tc>
          <w:tcPr>
            <w:tcW w:type="dxa" w:w="2400"/>
            <w:shd w:fill="D9D9D9" w:color="auto" w:val="clear"/>
            <w:tcMar>
              <w:top w:type="dxa" w:w="100"/>
              <w:left w:type="dxa" w:w="120"/>
              <w:bottom w:type="dxa" w:w="100"/>
              <w:right w:type="dxa" w:w="120"/>
            </w:tcMar>
          </w:tcPr>
          <w:p>
            <w:r>
              <w:rPr>
                <w:b/>
                <w:bCs/>
              </w:rPr>
              <w:t xml:space="preserve">Price</w:t>
            </w:r>
          </w:p>
        </w:tc>
        <w:tc>
          <w:tcPr>
            <w:tcW w:type="dxa" w:w="2800"/>
            <w:shd w:fill="D9D9D9" w:color="auto" w:val="clear"/>
            <w:tcMar>
              <w:top w:type="dxa" w:w="100"/>
              <w:left w:type="dxa" w:w="120"/>
              <w:bottom w:type="dxa" w:w="100"/>
              <w:right w:type="dxa" w:w="120"/>
            </w:tcMar>
          </w:tcPr>
          <w:p>
            <w:r>
              <w:rPr>
                <w:b/>
              </w:rPr>
              <w:t>Scope / status</w:t>
            </w:r>
          </w:p>
        </w:tc>
      </w:tr>
      <w:tr>
        <w:tc>
          <w:tcPr>
            <w:tcW w:type="dxa" w:w="2400"/>
            <w:tcMar>
              <w:top w:type="dxa" w:w="100"/>
              <w:left w:type="dxa" w:w="120"/>
              <w:bottom w:type="dxa" w:w="100"/>
              <w:right w:type="dxa" w:w="120"/>
            </w:tcMar>
          </w:tcPr>
          <w:p>
            <w:r>
              <w:rPr>
                <w:b w:val="false"/>
                <w:bCs w:val="false"/>
              </w:rPr>
              <w:t xml:space="preserve">Starter</w:t>
            </w:r>
          </w:p>
        </w:tc>
        <w:tc>
          <w:tcPr>
            <w:tcW w:type="dxa" w:w="2400"/>
            <w:tcMar>
              <w:top w:type="dxa" w:w="100"/>
              <w:left w:type="dxa" w:w="120"/>
              <w:bottom w:type="dxa" w:w="100"/>
              <w:right w:type="dxa" w:w="120"/>
            </w:tcMar>
          </w:tcPr>
          <w:p>
            <w:r>
              <w:rPr>
                <w:b w:val="false"/>
                <w:bCs w:val="false"/>
              </w:rPr>
              <w:t xml:space="preserve">Up to 20 agents</w:t>
            </w:r>
          </w:p>
        </w:tc>
        <w:tc>
          <w:tcPr>
            <w:tcW w:type="dxa" w:w="2400"/>
            <w:tcMar>
              <w:top w:type="dxa" w:w="100"/>
              <w:left w:type="dxa" w:w="120"/>
              <w:bottom w:type="dxa" w:w="100"/>
              <w:right w:type="dxa" w:w="120"/>
            </w:tcMar>
          </w:tcPr>
          <w:p>
            <w:r>
              <w:rPr>
                <w:b w:val="false"/>
                <w:bCs w:val="false"/>
              </w:rPr>
              <w:t xml:space="preserve">$250/month flat</w:t>
            </w:r>
          </w:p>
        </w:tc>
        <w:tc>
          <w:tcPr>
            <w:tcW w:type="dxa" w:w="2800"/>
            <w:tcMar>
              <w:top w:type="dxa" w:w="100"/>
              <w:left w:type="dxa" w:w="120"/>
              <w:bottom w:type="dxa" w:w="100"/>
              <w:right w:type="dxa" w:w="120"/>
            </w:tcMar>
          </w:tcPr>
          <w:p>
            <w:r>
              <w:rPr>
                <w:b w:val="false"/>
                <w:bCs w:val="false"/>
              </w:rPr>
              <w:t xml:space="preserve">Single policy document, weekly batch analysis</w:t>
            </w:r>
          </w:p>
        </w:tc>
      </w:tr>
      <w:tr>
        <w:tc>
          <w:tcPr>
            <w:tcW w:type="dxa" w:w="2400"/>
            <w:tcMar>
              <w:top w:type="dxa" w:w="100"/>
              <w:left w:type="dxa" w:w="120"/>
              <w:bottom w:type="dxa" w:w="100"/>
              <w:right w:type="dxa" w:w="120"/>
            </w:tcMar>
          </w:tcPr>
          <w:p>
            <w:r>
              <w:rPr>
                <w:b w:val="false"/>
                <w:bCs w:val="false"/>
              </w:rPr>
              <w:t xml:space="preserve">Growth</w:t>
            </w:r>
          </w:p>
        </w:tc>
        <w:tc>
          <w:tcPr>
            <w:tcW w:type="dxa" w:w="2400"/>
            <w:tcMar>
              <w:top w:type="dxa" w:w="100"/>
              <w:left w:type="dxa" w:w="120"/>
              <w:bottom w:type="dxa" w:w="100"/>
              <w:right w:type="dxa" w:w="120"/>
            </w:tcMar>
          </w:tcPr>
          <w:p>
            <w:r>
              <w:rPr>
                <w:b w:val="false"/>
                <w:bCs w:val="false"/>
              </w:rPr>
              <w:t xml:space="preserve">Up to 100 agents</w:t>
            </w:r>
          </w:p>
        </w:tc>
        <w:tc>
          <w:tcPr>
            <w:tcW w:type="dxa" w:w="2400"/>
            <w:tcMar>
              <w:top w:type="dxa" w:w="100"/>
              <w:left w:type="dxa" w:w="120"/>
              <w:bottom w:type="dxa" w:w="100"/>
              <w:right w:type="dxa" w:w="120"/>
            </w:tcMar>
          </w:tcPr>
          <w:p>
            <w:r>
              <w:rPr>
                <w:b w:val="false"/>
                <w:bCs w:val="false"/>
              </w:rPr>
              <w:t xml:space="preserve">$12/agent/month</w:t>
            </w:r>
          </w:p>
        </w:tc>
        <w:tc>
          <w:tcPr>
            <w:tcW w:type="dxa" w:w="2800"/>
            <w:tcMar>
              <w:top w:type="dxa" w:w="100"/>
              <w:left w:type="dxa" w:w="120"/>
              <w:bottom w:type="dxa" w:w="100"/>
              <w:right w:type="dxa" w:w="120"/>
            </w:tcMar>
          </w:tcPr>
          <w:p>
            <w:r>
              <w:rPr>
                <w:b w:val="false"/>
                <w:bCs w:val="false"/>
              </w:rPr>
              <w:t xml:space="preserve">Multiple policy versions, daily batch analysis, manager dashboard</w:t>
            </w:r>
          </w:p>
        </w:tc>
      </w:tr>
      <w:tr>
        <w:tc>
          <w:tcPr>
            <w:tcW w:type="dxa" w:w="2400"/>
            <w:tcMar>
              <w:top w:type="dxa" w:w="100"/>
              <w:left w:type="dxa" w:w="120"/>
              <w:bottom w:type="dxa" w:w="100"/>
              <w:right w:type="dxa" w:w="120"/>
            </w:tcMar>
          </w:tcPr>
          <w:p>
            <w:r>
              <w:rPr>
                <w:b w:val="false"/>
                <w:bCs w:val="false"/>
              </w:rPr>
              <w:t xml:space="preserve">Enterprise</w:t>
            </w:r>
          </w:p>
        </w:tc>
        <w:tc>
          <w:tcPr>
            <w:tcW w:type="dxa" w:w="2400"/>
            <w:tcMar>
              <w:top w:type="dxa" w:w="100"/>
              <w:left w:type="dxa" w:w="120"/>
              <w:bottom w:type="dxa" w:w="100"/>
              <w:right w:type="dxa" w:w="120"/>
            </w:tcMar>
          </w:tcPr>
          <w:p>
            <w:r>
              <w:rPr>
                <w:b w:val="false"/>
                <w:bCs w:val="false"/>
              </w:rPr>
              <w:t xml:space="preserve">100+ agents</w:t>
            </w:r>
          </w:p>
        </w:tc>
        <w:tc>
          <w:tcPr>
            <w:tcW w:type="dxa" w:w="2400"/>
            <w:tcMar>
              <w:top w:type="dxa" w:w="100"/>
              <w:left w:type="dxa" w:w="120"/>
              <w:bottom w:type="dxa" w:w="100"/>
              <w:right w:type="dxa" w:w="120"/>
            </w:tcMar>
          </w:tcPr>
          <w:p>
            <w:r>
              <w:t>Custom; volume estimate of $8–$10 per agent/month</w:t>
            </w:r>
          </w:p>
        </w:tc>
        <w:tc>
          <w:tcPr>
            <w:tcW w:type="dxa" w:w="2800"/>
            <w:tcMar>
              <w:top w:type="dxa" w:w="100"/>
              <w:left w:type="dxa" w:w="120"/>
              <w:bottom w:type="dxa" w:w="100"/>
              <w:right w:type="dxa" w:w="120"/>
            </w:tcMar>
          </w:tcPr>
          <w:p>
            <w:r>
              <w:t>Proposed future tier: SSO, custom policy taxonomy, dedicated support, and possible real-time analysis; not included in the current prototype</w:t>
            </w:r>
          </w:p>
        </w:tc>
      </w:tr>
    </w:tbl>
    <w:p>
      <w:pPr>
        <w:spacing w:after="200" w:before="200"/>
      </w:pPr>
    </w:p>
    <w:p>
      <w:pPr>
        <w:spacing w:after="200"/>
        <w:jc w:val="left"/>
      </w:pPr>
      <w:r>
        <w:t>The proposed prices reflect PromiseGuard’s narrower initial scope and local-inference architecture. They should not be interpreted as a verified discount to competing products because vendor packaging, contract terms, implementation fees, and negotiated rates vary. Final pricing would need to be tested against customer value, deployment cost, and willingness to pay.</w:t>
      </w:r>
    </w:p>
    <w:p>
      <w:pPr>
        <w:pStyle w:val="Heading2"/>
        <w:spacing w:after="160" w:before="280"/>
      </w:pPr>
      <w:r>
        <w:rPr>
          <w:color w:val="000000"/>
        </w:rPr>
        <w:t xml:space="preserve">4.1 Cost Structure &amp; Unit Economics</w:t>
      </w:r>
    </w:p>
    <w:p>
      <w:pPr>
        <w:spacing w:after="200"/>
        <w:jc w:val="left"/>
      </w:pPr>
      <w:r>
        <w:t>Because inference runs on the customer’s own infrastructure rather than a metered cloud API, PromiseGuard’s marginal cost per customer is low: there is no per-call LLM charge and no vendor-hosted GPU cost that scales with usage. The primary vendor-side costs are therefore engineering and product maintenance, customer onboarding, and ongoing account and support labor rather than compute. This differs structurally from cloud-API-based competitors, whose margins are more directly exposed to LLM usage costs.</w:t>
      </w:r>
    </w:p>
    <w:p>
      <w:pPr>
        <w:spacing w:after="200"/>
        <w:jc w:val="left"/>
      </w:pPr>
      <w:r>
        <w:t>Illustrative scenario (not an observed result): a Growth-tier customer at 100 agents and $12/agent/month represents $1,200 in monthly revenue. If onboarding and ongoing support for that account are assumed to require roughly 2 hours per month of blended operations time at a fully loaded cost of $75/hour, that would imply approximately $150 per month in vendor serving cost, or a gross margin near 87%. These figures are planning assumptions only; actual unit economics would depend on onboarding complexity, support ticket volume, churn, and customer acquisition cost, and would need to be validated through pilot deployments.</w:t>
      </w:r>
    </w:p>
    <w:p>
      <w:pPr>
        <w:pStyle w:val="Heading1"/>
        <w:spacing w:after="200" w:before="360"/>
      </w:pPr>
      <w:r>
        <w:rPr>
          <w:color w:val="000000"/>
        </w:rPr>
        <w:t xml:space="preserve">5. Target User &amp; Market Landscape</w:t>
      </w:r>
    </w:p>
    <w:p>
      <w:pPr>
        <w:pStyle w:val="Heading2"/>
        <w:spacing w:after="160" w:before="280"/>
      </w:pPr>
      <w:r>
        <w:rPr>
          <w:color w:val="000000"/>
        </w:rPr>
        <w:t xml:space="preserve">5.1 Target User</w:t>
      </w:r>
    </w:p>
    <w:p>
      <w:pPr>
        <w:spacing w:after="200"/>
        <w:jc w:val="left"/>
      </w:pPr>
      <w:r>
        <w:t>Primary buyer: a Vice President of Customer Success, Sales Operations Manager, or Revenue Operations leader at a mid-sized B2B SaaS or subscription-services company (approximately 50–500 employees) with at least 15 sales or support representatives. This segment is intended to represent organizations for which manual communication review is increasingly difficult but a custom internal compliance-monitoring system may not be economical.</w:t>
      </w:r>
    </w:p>
    <w:p>
      <w:pPr>
        <w:pStyle w:val="Heading2"/>
        <w:spacing w:after="160" w:before="280"/>
      </w:pPr>
      <w:r>
        <w:rPr>
          <w:color w:val="000000"/>
        </w:rPr>
        <w:t xml:space="preserve">5.2 Market Sizing</w:t>
      </w:r>
    </w:p>
    <w:p>
      <w:pPr>
        <w:spacing w:after="140"/>
      </w:pPr>
      <w:r>
        <w:t>TAM (illustrative planning scenario): if approximately 300,000 global B2B SaaS and subscription-services companies had relevant customer-facing teams and the average annual contract value were $3,000, the implied total addressable market would be $900 million annually. The company count and contract value are unverified assumptions and should not be presented as externally established market estimates.</w:t>
      </w:r>
    </w:p>
    <w:p>
      <w:pPr>
        <w:spacing w:after="140"/>
      </w:pPr>
      <w:r>
        <w:t>SAM (illustrative planning scenario): if 30,000 U.S. mid-market B2B SaaS and technology companies met the target criteria and the average annual contract value were $3,000, the implied serviceable addressable market would be $90 million annually. Customer discovery and sourced firmographic data would be required to validate both the segment size and purchasing fit.</w:t>
      </w:r>
    </w:p>
    <w:p>
      <w:pPr>
        <w:spacing w:after="140"/>
      </w:pPr>
      <w:r>
        <w:t>SOM (illustrative aspiration): capturing 2% of the assumed SAM would equal approximately 600 customers. At a blended annual contract value of $1,800, this would produce about $1.08 million in annual recurring revenue. This is scenario math, not a forecast; its feasibility would depend on product performance, sales capacity, retention, implementation requirements, and validated demand.</w:t>
      </w:r>
    </w:p>
    <w:p>
      <w:pPr>
        <w:pStyle w:val="Heading2"/>
        <w:spacing w:after="160" w:before="280"/>
      </w:pPr>
      <w:r>
        <w:rPr>
          <w:color w:val="000000"/>
        </w:rPr>
        <w:t xml:space="preserve">5.3 Competitive Landscape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D9D9D9" w:color="auto" w:val="clear"/>
            <w:tcMar>
              <w:top w:type="dxa" w:w="100"/>
              <w:left w:type="dxa" w:w="120"/>
              <w:bottom w:type="dxa" w:w="100"/>
              <w:right w:type="dxa" w:w="120"/>
            </w:tcMar>
          </w:tcPr>
          <w:p>
            <w:r>
              <w:rPr>
                <w:b/>
                <w:bCs/>
              </w:rPr>
              <w:t xml:space="preserve">Company</w:t>
            </w:r>
          </w:p>
        </w:tc>
        <w:tc>
          <w:tcPr>
            <w:tcW w:type="dxa" w:w="2600"/>
            <w:shd w:fill="D9D9D9" w:color="auto" w:val="clear"/>
            <w:tcMar>
              <w:top w:type="dxa" w:w="100"/>
              <w:left w:type="dxa" w:w="120"/>
              <w:bottom w:type="dxa" w:w="100"/>
              <w:right w:type="dxa" w:w="120"/>
            </w:tcMar>
          </w:tcPr>
          <w:p>
            <w:r>
              <w:rPr>
                <w:b/>
                <w:bCs/>
              </w:rPr>
              <w:t xml:space="preserve">Focus</w:t>
            </w:r>
          </w:p>
        </w:tc>
        <w:tc>
          <w:tcPr>
            <w:tcW w:type="dxa" w:w="2600"/>
            <w:shd w:fill="D9D9D9" w:color="auto" w:val="clear"/>
            <w:tcMar>
              <w:top w:type="dxa" w:w="100"/>
              <w:left w:type="dxa" w:w="120"/>
              <w:bottom w:type="dxa" w:w="100"/>
              <w:right w:type="dxa" w:w="120"/>
            </w:tcMar>
          </w:tcPr>
          <w:p>
            <w:r>
              <w:rPr>
                <w:b/>
              </w:rPr>
              <w:t>Illustrative pricing reference</w:t>
            </w:r>
          </w:p>
        </w:tc>
        <w:tc>
          <w:tcPr>
            <w:tcW w:type="dxa" w:w="2600"/>
            <w:shd w:fill="D9D9D9" w:color="auto" w:val="clear"/>
            <w:tcMar>
              <w:top w:type="dxa" w:w="100"/>
              <w:left w:type="dxa" w:w="120"/>
              <w:bottom w:type="dxa" w:w="100"/>
              <w:right w:type="dxa" w:w="120"/>
            </w:tcMar>
          </w:tcPr>
          <w:p>
            <w:r>
              <w:rPr>
                <w:b/>
              </w:rPr>
              <w:t>Proposed differentiation</w:t>
            </w:r>
          </w:p>
        </w:tc>
      </w:tr>
      <w:tr>
        <w:tc>
          <w:tcPr>
            <w:tcW w:type="dxa" w:w="2200"/>
            <w:tcMar>
              <w:top w:type="dxa" w:w="100"/>
              <w:left w:type="dxa" w:w="120"/>
              <w:bottom w:type="dxa" w:w="100"/>
              <w:right w:type="dxa" w:w="120"/>
            </w:tcMar>
          </w:tcPr>
          <w:p>
            <w:r>
              <w:rPr>
                <w:b w:val="false"/>
                <w:bCs w:val="false"/>
              </w:rPr>
              <w:t xml:space="preserve">Gong</w:t>
            </w:r>
          </w:p>
        </w:tc>
        <w:tc>
          <w:tcPr>
            <w:tcW w:type="dxa" w:w="2600"/>
            <w:tcMar>
              <w:top w:type="dxa" w:w="100"/>
              <w:left w:type="dxa" w:w="120"/>
              <w:bottom w:type="dxa" w:w="100"/>
              <w:right w:type="dxa" w:w="120"/>
            </w:tcMar>
          </w:tcPr>
          <w:p>
            <w:r>
              <w:rPr>
                <w:b w:val="false"/>
                <w:bCs w:val="false"/>
              </w:rPr>
              <w:t xml:space="preserve">Broad conversation intelligence, deal coaching, forecasting</w:t>
            </w:r>
          </w:p>
        </w:tc>
        <w:tc>
          <w:tcPr>
            <w:tcW w:type="dxa" w:w="2600"/>
            <w:tcMar>
              <w:top w:type="dxa" w:w="100"/>
              <w:left w:type="dxa" w:w="120"/>
              <w:bottom w:type="dxa" w:w="100"/>
              <w:right w:type="dxa" w:w="120"/>
            </w:tcMar>
          </w:tcPr>
          <w:p>
            <w:r>
              <w:t>Public estimates often cited at ~$1,200–$1,600 per user/year; verify directly</w:t>
            </w:r>
          </w:p>
        </w:tc>
        <w:tc>
          <w:tcPr>
            <w:tcW w:type="dxa" w:w="2600"/>
            <w:tcMar>
              <w:top w:type="dxa" w:w="100"/>
              <w:left w:type="dxa" w:w="120"/>
              <w:bottom w:type="dxa" w:w="100"/>
              <w:right w:type="dxa" w:w="120"/>
            </w:tcMar>
          </w:tcPr>
          <w:p>
            <w:r>
              <w:t>Narrower emphasis on policy-grounded commitment review rather than broad coaching and forecasting</w:t>
            </w:r>
          </w:p>
        </w:tc>
      </w:tr>
      <w:tr>
        <w:tc>
          <w:tcPr>
            <w:tcW w:type="dxa" w:w="2200"/>
            <w:tcMar>
              <w:top w:type="dxa" w:w="100"/>
              <w:left w:type="dxa" w:w="120"/>
              <w:bottom w:type="dxa" w:w="100"/>
              <w:right w:type="dxa" w:w="120"/>
            </w:tcMar>
          </w:tcPr>
          <w:p>
            <w:r>
              <w:rPr>
                <w:b w:val="false"/>
                <w:bCs w:val="false"/>
              </w:rPr>
              <w:t xml:space="preserve">Observe.AI</w:t>
            </w:r>
          </w:p>
        </w:tc>
        <w:tc>
          <w:tcPr>
            <w:tcW w:type="dxa" w:w="2600"/>
            <w:tcMar>
              <w:top w:type="dxa" w:w="100"/>
              <w:left w:type="dxa" w:w="120"/>
              <w:bottom w:type="dxa" w:w="100"/>
              <w:right w:type="dxa" w:w="120"/>
            </w:tcMar>
          </w:tcPr>
          <w:p>
            <w:r>
              <w:rPr>
                <w:b w:val="false"/>
                <w:bCs w:val="false"/>
              </w:rPr>
              <w:t xml:space="preserve">QA automation and agent coaching for contact centers</w:t>
            </w:r>
          </w:p>
        </w:tc>
        <w:tc>
          <w:tcPr>
            <w:tcW w:type="dxa" w:w="2600"/>
            <w:tcMar>
              <w:top w:type="dxa" w:w="100"/>
              <w:left w:type="dxa" w:w="120"/>
              <w:bottom w:type="dxa" w:w="100"/>
              <w:right w:type="dxa" w:w="120"/>
            </w:tcMar>
          </w:tcPr>
          <w:p>
            <w:r>
              <w:t>Public estimates often cited at ~$150–$300 per agent/month; verify directly</w:t>
            </w:r>
          </w:p>
        </w:tc>
        <w:tc>
          <w:tcPr>
            <w:tcW w:type="dxa" w:w="2600"/>
            <w:tcMar>
              <w:top w:type="dxa" w:w="100"/>
              <w:left w:type="dxa" w:w="120"/>
              <w:bottom w:type="dxa" w:w="100"/>
              <w:right w:type="dxa" w:w="120"/>
            </w:tcMar>
          </w:tcPr>
          <w:p>
            <w:r>
              <w:t>Policy-clause comparison is the proposed point of focus; current vendor capabilities require verification</w:t>
            </w:r>
          </w:p>
        </w:tc>
      </w:tr>
      <w:tr>
        <w:tc>
          <w:tcPr>
            <w:tcW w:type="dxa" w:w="2200"/>
            <w:tcMar>
              <w:top w:type="dxa" w:w="100"/>
              <w:left w:type="dxa" w:w="120"/>
              <w:bottom w:type="dxa" w:w="100"/>
              <w:right w:type="dxa" w:w="120"/>
            </w:tcMar>
          </w:tcPr>
          <w:p>
            <w:r>
              <w:rPr>
                <w:b w:val="false"/>
                <w:bCs w:val="false"/>
              </w:rPr>
              <w:t xml:space="preserve">Enthu.ai</w:t>
            </w:r>
          </w:p>
        </w:tc>
        <w:tc>
          <w:tcPr>
            <w:tcW w:type="dxa" w:w="2600"/>
            <w:tcMar>
              <w:top w:type="dxa" w:w="100"/>
              <w:left w:type="dxa" w:w="120"/>
              <w:bottom w:type="dxa" w:w="100"/>
              <w:right w:type="dxa" w:w="120"/>
            </w:tcMar>
          </w:tcPr>
          <w:p>
            <w:r>
              <w:rPr>
                <w:b w:val="false"/>
                <w:bCs w:val="false"/>
              </w:rPr>
              <w:t xml:space="preserve">Conversation analytics for sales/support teams</w:t>
            </w:r>
          </w:p>
        </w:tc>
        <w:tc>
          <w:tcPr>
            <w:tcW w:type="dxa" w:w="2600"/>
            <w:tcMar>
              <w:top w:type="dxa" w:w="100"/>
              <w:left w:type="dxa" w:w="120"/>
              <w:bottom w:type="dxa" w:w="100"/>
              <w:right w:type="dxa" w:w="120"/>
            </w:tcMar>
          </w:tcPr>
          <w:p>
            <w:r>
              <w:t>Public estimates often cited at ~$50–$100 per agent/month; verify directly</w:t>
            </w:r>
          </w:p>
        </w:tc>
        <w:tc>
          <w:tcPr>
            <w:tcW w:type="dxa" w:w="2600"/>
            <w:tcMar>
              <w:top w:type="dxa" w:w="100"/>
              <w:left w:type="dxa" w:w="120"/>
              <w:bottom w:type="dxa" w:w="100"/>
              <w:right w:type="dxa" w:w="120"/>
            </w:tcMar>
          </w:tcPr>
          <w:p>
            <w:r>
              <w:t>Proposed emphasis on clause-level policy matching rather than general conversation analytics; verify current offerings</w:t>
            </w:r>
          </w:p>
        </w:tc>
      </w:tr>
    </w:tbl>
    <w:p>
      <w:pPr>
        <w:spacing w:after="200" w:before="200"/>
      </w:pPr>
    </w:p>
    <w:p>
      <w:r>
        <w:t>Competitor descriptions and price ranges are illustrative secondary-market references, not vendor-verified quotations. Product capabilities and commercial terms change over time and should be confirmed from current primary sources before external use.</w:t>
      </w:r>
    </w:p>
    <w:p>
      <w:pPr>
        <w:spacing w:after="200"/>
        <w:jc w:val="left"/>
      </w:pPr>
      <w:r>
        <w:t>PromiseGuard is not intended to replace broad conversation-intelligence platforms such as Gong. Its proposed differentiation is a narrower focus on comparing representative commitments with company policy and returning reviewable, clause-level evidence. Competitive differentiation would need to be confirmed through product testing and current vendor research.</w:t>
      </w:r>
    </w:p>
    <w:p>
      <w:pPr>
        <w:pStyle w:val="Heading1"/>
        <w:spacing w:after="200" w:before="360"/>
      </w:pPr>
      <w:r>
        <w:rPr>
          <w:color w:val="000000"/>
        </w:rPr>
        <w:t xml:space="preserve">6. Go-to-Market Strategy</w:t>
      </w:r>
    </w:p>
    <w:p>
      <w:pPr>
        <w:pStyle w:val="ListParagraph"/>
        <w:numPr>
          <w:ilvl w:val="0"/>
          <w:numId w:val="2"/>
        </w:numPr>
        <w:spacing w:after="100"/>
      </w:pPr>
      <w:r>
        <w:t>Initial target segment: mid-market B2B SaaS companies in regulated-adjacent fields, such as fintech- or healthtech-adjacent software, where local processing may be valued. Suitability would still depend on each organization’s data-governance and security requirements.</w:t>
      </w:r>
    </w:p>
    <w:p>
      <w:pPr>
        <w:pStyle w:val="ListParagraph"/>
        <w:numPr>
          <w:ilvl w:val="0"/>
          <w:numId w:val="2"/>
        </w:numPr>
        <w:spacing w:after="100"/>
      </w:pPr>
      <w:r>
        <w:t>Initial buyer: Revenue Operations and Customer Success leaders who oversee communication quality, concessions, escalation handling, or related operational risks.</w:t>
      </w:r>
    </w:p>
    <w:p>
      <w:pPr>
        <w:pStyle w:val="ListParagraph"/>
        <w:numPr>
          <w:ilvl w:val="0"/>
          <w:numId w:val="2"/>
        </w:numPr>
        <w:spacing w:after="100"/>
      </w:pPr>
      <w:r>
        <w:t>Pilot approach: offer a time-limited pilot using one team’s transcripts to assess whether PromiseGuard identifies useful, reviewable examples. Any commercial case should be based on measured pilot outcomes rather than assumed cost savings.</w:t>
      </w:r>
    </w:p>
    <w:p>
      <w:pPr>
        <w:pStyle w:val="ListParagraph"/>
        <w:numPr>
          <w:ilvl w:val="0"/>
          <w:numId w:val="2"/>
        </w:numPr>
        <w:spacing w:after="100"/>
      </w:pPr>
      <w:r>
        <w:t>Sales positioning should treat the local-only architecture as a specific, verifiable answer to data-residency and third-party-data-sharing questions rather than a general privacy claim, since regulated-adjacent buyers in the target segment are likely to raise this directly during security review.</w:t>
      </w:r>
    </w:p>
    <w:p>
      <w:pPr>
        <w:pStyle w:val="Heading1"/>
        <w:spacing w:after="200" w:before="360"/>
      </w:pPr>
      <w:r>
        <w:rPr>
          <w:color w:val="000000"/>
        </w:rPr>
        <w:t xml:space="preserve">7. Risks &amp; Limitations</w:t>
      </w:r>
    </w:p>
    <w:p>
      <w:pPr>
        <w:pStyle w:val="ListParagraph"/>
        <w:numPr>
          <w:ilvl w:val="0"/>
          <w:numId w:val="2"/>
        </w:numPr>
        <w:spacing w:after="100"/>
      </w:pPr>
      <w:r>
        <w:t>Model performance: the 8B local model may be less reliable than larger models on subtle language. The MVP addresses this risk through explicit prompts, policy citations, documented evaluation, and mandatory human review; it does not trigger automated enforcement actions.</w:t>
      </w:r>
    </w:p>
    <w:p>
      <w:pPr>
        <w:pStyle w:val="ListParagraph"/>
        <w:numPr>
          <w:ilvl w:val="0"/>
          <w:numId w:val="2"/>
        </w:numPr>
        <w:spacing w:after="100"/>
      </w:pPr>
      <w:r>
        <w:t>Policy-document quality: output quality depends on policies being current, internally consistent, and sufficiently clear. Poorly structured or contradictory source material may require an onboarding and policy-cleanup step.</w:t>
      </w:r>
    </w:p>
    <w:p>
      <w:pPr>
        <w:pStyle w:val="ListParagraph"/>
        <w:numPr>
          <w:ilvl w:val="0"/>
          <w:numId w:val="2"/>
        </w:numPr>
        <w:spacing w:after="100"/>
      </w:pPr>
      <w:r>
        <w:t>False positives and calibration: initial use is likely to require review and tuning. Recorded false positives can inform prompt and workflow refinement, but this feedback mechanism should not be described as automatic model learning unless such functionality is implemented.</w:t>
      </w:r>
    </w:p>
    <w:p>
      <w:pPr>
        <w:pStyle w:val="Heading1"/>
        <w:pageBreakBefore/>
        <w:spacing w:after="200" w:before="360"/>
      </w:pPr>
      <w:r>
        <w:rPr>
          <w:color w:val="000000"/>
        </w:rPr>
        <w:t xml:space="preserve">Appendix: Prototype Summary</w:t>
      </w:r>
    </w:p>
    <w:p>
      <w:pPr>
        <w:spacing w:after="200"/>
        <w:jc w:val="left"/>
      </w:pPr>
      <w:r>
        <w:t>A working local prototype was tested on a 10-transcript synthetic suite comprising three clean cases, three ambiguous cases, and four policy-violation cases across refunds, fee waivers, pricing, and feature commitments. This small, synthetic evaluation demonstrates end-to-end functionality but does not establish production accuracy or generalizability. The prototype includes a Python pipeline for promise extraction, policy matching, and compliance comparison, together with a Streamlit interface for upload and review. It runs against a locally served Ollama model and does not require an external LLM API.</w:t>
      </w:r>
    </w:p>
    <w:p>
      <w:pPr>
        <w:pStyle w:val="Heading2"/>
        <w:spacing w:after="160" w:before="280"/>
      </w:pPr>
      <w:r>
        <w:rPr>
          <w:color w:val="000000"/>
        </w:rPr>
        <w:t xml:space="preserve">How to Run the Prototype</w:t>
      </w:r>
    </w:p>
    <w:p>
      <w:pPr>
        <w:spacing w:after="200"/>
        <w:jc w:val="left"/>
      </w:pPr>
      <w:r>
        <w:t>The prototype runs locally and does not require a cloud account or LLM API key. To launch it:</w:t>
      </w:r>
    </w:p>
    <w:p>
      <w:pPr>
        <w:pStyle w:val="ListParagraph"/>
        <w:numPr>
          <w:ilvl w:val="0"/>
          <w:numId w:val="3"/>
        </w:numPr>
        <w:spacing w:after="100"/>
      </w:pPr>
      <w:r>
        <w:t xml:space="preserve">Install Ollama (</w:t>
      </w:r>
      <w:r>
        <w:rPr>
          <w:i/>
          <w:iCs/>
        </w:rPr>
        <w:t xml:space="preserve">https://ollama.com/download</w:t>
      </w:r>
      <w:r>
        <w:t xml:space="preserve">), then pull the model: </w:t>
      </w:r>
      <w:r>
        <w:rPr>
          <w:rFonts w:ascii="Consolas" w:cs="Consolas" w:eastAsia="Consolas" w:hAnsi="Consolas"/>
        </w:rPr>
        <w:t xml:space="preserve">ollama pull llama3.1:8b</w:t>
      </w:r>
    </w:p>
    <w:p>
      <w:pPr>
        <w:pStyle w:val="ListParagraph"/>
        <w:numPr>
          <w:ilvl w:val="0"/>
          <w:numId w:val="3"/>
        </w:numPr>
        <w:spacing w:after="100"/>
      </w:pPr>
      <w:r>
        <w:t xml:space="preserve">Confirm Ollama is running: </w:t>
      </w:r>
      <w:r>
        <w:rPr>
          <w:rFonts w:ascii="Consolas" w:cs="Consolas" w:eastAsia="Consolas" w:hAnsi="Consolas"/>
        </w:rPr>
        <w:t xml:space="preserve">curl http://localhost:11434/api/tags</w:t>
      </w:r>
    </w:p>
    <w:p>
      <w:pPr>
        <w:pStyle w:val="ListParagraph"/>
        <w:numPr>
          <w:ilvl w:val="0"/>
          <w:numId w:val="3"/>
        </w:numPr>
        <w:spacing w:after="100"/>
      </w:pPr>
      <w:r>
        <w:t xml:space="preserve">From the project root, create and activate a virtual environment, then install dependencies: </w:t>
      </w:r>
      <w:r>
        <w:rPr>
          <w:rFonts w:ascii="Consolas" w:cs="Consolas" w:eastAsia="Consolas" w:hAnsi="Consolas"/>
        </w:rPr>
        <w:t xml:space="preserve">pip install -r requirements.txt</w:t>
      </w:r>
    </w:p>
    <w:p>
      <w:pPr>
        <w:pStyle w:val="ListParagraph"/>
        <w:numPr>
          <w:ilvl w:val="0"/>
          <w:numId w:val="3"/>
        </w:numPr>
        <w:spacing w:after="100"/>
      </w:pPr>
      <w:r>
        <w:t xml:space="preserve">Launch the app: </w:t>
      </w:r>
      <w:r>
        <w:rPr>
          <w:rFonts w:ascii="Consolas" w:cs="Consolas" w:eastAsia="Consolas" w:hAnsi="Consolas"/>
        </w:rPr>
        <w:t xml:space="preserve">streamlit run frontend/app.py</w:t>
      </w:r>
    </w:p>
    <w:p>
      <w:pPr>
        <w:pStyle w:val="ListParagraph"/>
        <w:numPr>
          <w:ilvl w:val="0"/>
          <w:numId w:val="3"/>
        </w:numPr>
        <w:spacing w:after="100"/>
      </w:pPr>
      <w:r>
        <w:t xml:space="preserve">The app opens automatically in your browser (default: </w:t>
      </w:r>
      <w:r>
        <w:rPr>
          <w:rFonts w:ascii="Consolas" w:cs="Consolas" w:eastAsia="Consolas" w:hAnsi="Consolas"/>
        </w:rPr>
        <w:t xml:space="preserve">http://localhost:8501</w:t>
      </w:r>
      <w:r>
        <w:t xml:space="preserve">). Upload </w:t>
      </w:r>
      <w:r>
        <w:rPr>
          <w:rFonts w:ascii="Consolas" w:cs="Consolas" w:eastAsia="Consolas" w:hAnsi="Consolas"/>
        </w:rPr>
        <w:t xml:space="preserve">data/policies/company_policy.md</w:t>
      </w:r>
      <w:r>
        <w:t xml:space="preserve"> as the policy document and any file from </w:t>
      </w:r>
      <w:r>
        <w:rPr>
          <w:rFonts w:ascii="Consolas" w:cs="Consolas" w:eastAsia="Consolas" w:hAnsi="Consolas"/>
        </w:rPr>
        <w:t xml:space="preserve">data/transcripts/</w:t>
      </w:r>
      <w:r>
        <w:t xml:space="preserve"> as the transcript, then run the analysis.</w:t>
      </w:r>
    </w:p>
    <w:p>
      <w:pPr>
        <w:spacing w:after="200"/>
        <w:jc w:val="left"/>
      </w:pPr>
      <w:r>
        <w:t xml:space="preserve">Project structure:</w:t>
      </w:r>
    </w:p>
    <w:p>
      <w:pPr>
        <w:spacing w:after="0"/>
      </w:pPr>
      <w:r>
        <w:rPr>
          <w:rFonts w:ascii="Consolas" w:cs="Consolas" w:eastAsia="Consolas" w:hAnsi="Consolas"/>
          <w:sz w:val="18"/>
          <w:szCs w:val="18"/>
        </w:rPr>
        <w:t xml:space="preserve">promiseguard/</w:t>
      </w:r>
    </w:p>
    <w:p>
      <w:pPr>
        <w:spacing w:after="0"/>
      </w:pPr>
      <w:r>
        <w:rPr>
          <w:rFonts w:ascii="Consolas" w:cs="Consolas" w:eastAsia="Consolas" w:hAnsi="Consolas"/>
          <w:sz w:val="18"/>
          <w:szCs w:val="18"/>
        </w:rPr>
        <w:t xml:space="preserve">├── docs/                    # project plan + build brief</w:t>
      </w:r>
    </w:p>
    <w:p>
      <w:pPr>
        <w:spacing w:after="0"/>
      </w:pPr>
      <w:r>
        <w:rPr>
          <w:rFonts w:ascii="Consolas" w:cs="Consolas" w:eastAsia="Consolas" w:hAnsi="Consolas"/>
          <w:sz w:val="18"/>
          <w:szCs w:val="18"/>
        </w:rPr>
        <w:t xml:space="preserve">├── data/</w:t>
      </w:r>
    </w:p>
    <w:p>
      <w:pPr>
        <w:spacing w:after="0"/>
      </w:pPr>
      <w:r>
        <w:rPr>
          <w:rFonts w:ascii="Consolas" w:cs="Consolas" w:eastAsia="Consolas" w:hAnsi="Consolas"/>
          <w:sz w:val="18"/>
          <w:szCs w:val="18"/>
        </w:rPr>
        <w:t xml:space="preserve">│   ├── policies/            # company_policy.md</w:t>
      </w:r>
    </w:p>
    <w:p>
      <w:pPr>
        <w:spacing w:after="0"/>
      </w:pPr>
      <w:r>
        <w:rPr>
          <w:rFonts w:ascii="Consolas" w:cs="Consolas" w:eastAsia="Consolas" w:hAnsi="Consolas"/>
          <w:sz w:val="18"/>
          <w:szCs w:val="18"/>
        </w:rPr>
        <w:t xml:space="preserve">│   └── transcripts/         # 10 synthetic test transcripts</w:t>
      </w:r>
    </w:p>
    <w:p>
      <w:pPr>
        <w:spacing w:after="0"/>
      </w:pPr>
      <w:r>
        <w:rPr>
          <w:rFonts w:ascii="Consolas" w:cs="Consolas" w:eastAsia="Consolas" w:hAnsi="Consolas"/>
          <w:sz w:val="18"/>
          <w:szCs w:val="18"/>
        </w:rPr>
        <w:t xml:space="preserve">├── backend/                 # pipeline: extraction, matching, compliance checking</w:t>
      </w:r>
    </w:p>
    <w:p>
      <w:pPr>
        <w:spacing w:after="0"/>
      </w:pPr>
      <w:r>
        <w:rPr>
          <w:rFonts w:ascii="Consolas" w:cs="Consolas" w:eastAsia="Consolas" w:hAnsi="Consolas"/>
          <w:sz w:val="18"/>
          <w:szCs w:val="18"/>
        </w:rPr>
        <w:t xml:space="preserve">└── frontend/app.py          # Streamlit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2026-08-20T04:54:48.649Z</dcterms:created>
  <dcterms:modified xsi:type="dcterms:W3CDTF">2026-08-20T04:54:48.661Z</dcterms:modified>
  <dc:title>PromiseGuard — Business Plan and Productization Plan</dc:title>
  <dc:subject>MSBA 6461 LLM Business Application</dc:subject>
  <cp:keywords>PromiseGuard, LLM, policy compliance, business plan</cp:keywords>
</cp:coreProperties>
</file>

<file path=docProps/custom.xml><?xml version="1.0" encoding="utf-8"?>
<Properties xmlns="http://schemas.openxmlformats.org/officeDocument/2006/custom-properties" xmlns:vt="http://schemas.openxmlformats.org/officeDocument/2006/docPropsVTypes"/>
</file>