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 w:eastAsiaTheme="minorEastAsia"/>
          <w:sz w:val="44"/>
          <w:szCs w:val="44"/>
          <w:lang w:eastAsia="zh-CN"/>
        </w:rPr>
      </w:pPr>
      <w:r>
        <w:drawing>
          <wp:inline distT="0" distB="0" distL="114300" distR="114300">
            <wp:extent cx="5342255" cy="878205"/>
            <wp:effectExtent l="0" t="0" r="0" b="17145"/>
            <wp:docPr id="4" name="图片 3" descr="信德成LOGO [转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信德成LOGO [转换]"/>
                    <pic:cNvPicPr>
                      <a:picLocks noChangeAspect="1"/>
                    </pic:cNvPicPr>
                  </pic:nvPicPr>
                  <pic:blipFill>
                    <a:blip r:embed="rId4"/>
                    <a:srcRect r="32841"/>
                    <a:stretch>
                      <a:fillRect/>
                    </a:stretch>
                  </pic:blipFill>
                  <pic:spPr>
                    <a:xfrm>
                      <a:off x="0" y="0"/>
                      <a:ext cx="534225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/>
          <w:b/>
          <w:sz w:val="36"/>
          <w:szCs w:val="36"/>
        </w:rPr>
      </w:pPr>
      <w:r>
        <w:rPr>
          <w:rFonts w:hint="eastAsia" w:ascii="宋体" w:hAnsi="宋体" w:eastAsia="宋体"/>
          <w:b/>
          <w:sz w:val="36"/>
          <w:szCs w:val="36"/>
          <w:lang w:val="en-US" w:eastAsia="zh-CN"/>
        </w:rPr>
        <w:t>SANTERSON</w:t>
      </w:r>
      <w:r>
        <w:rPr>
          <w:rFonts w:hint="eastAsia" w:ascii="宋体" w:hAnsi="宋体" w:eastAsia="宋体"/>
          <w:b/>
          <w:sz w:val="36"/>
          <w:szCs w:val="36"/>
        </w:rPr>
        <w:t>产品渠道</w:t>
      </w:r>
    </w:p>
    <w:p>
      <w:pPr>
        <w:jc w:val="center"/>
        <w:rPr>
          <w:rFonts w:ascii="宋体" w:hAnsi="宋体" w:eastAsia="宋体"/>
          <w:b/>
          <w:sz w:val="36"/>
          <w:szCs w:val="36"/>
        </w:rPr>
      </w:pPr>
      <w: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  <w:t>台湾</w:t>
      </w:r>
      <w:r>
        <w:rPr>
          <w:rFonts w:hint="eastAsia" w:ascii="宋体" w:hAnsi="宋体" w:eastAsia="宋体"/>
          <w:b/>
          <w:sz w:val="36"/>
          <w:szCs w:val="36"/>
          <w:u w:val="single"/>
        </w:rPr>
        <w:t>地区</w:t>
      </w:r>
      <w:r>
        <w:rPr>
          <w:rFonts w:hint="eastAsia" w:ascii="宋体" w:hAnsi="宋体" w:eastAsia="宋体"/>
          <w:b/>
          <w:sz w:val="36"/>
          <w:szCs w:val="36"/>
        </w:rPr>
        <w:t>代理</w:t>
      </w:r>
    </w:p>
    <w:p>
      <w:pPr>
        <w:jc w:val="center"/>
        <w:rPr>
          <w:rFonts w:ascii="宋体" w:hAnsi="宋体" w:eastAsia="宋体"/>
          <w:b/>
          <w:sz w:val="36"/>
          <w:szCs w:val="36"/>
        </w:rPr>
      </w:pPr>
    </w:p>
    <w:p>
      <w:pPr>
        <w:jc w:val="center"/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 w:ascii="宋体" w:hAnsi="宋体" w:eastAsia="宋体"/>
          <w:b/>
          <w:sz w:val="36"/>
          <w:szCs w:val="36"/>
        </w:rPr>
        <w:t>协议</w:t>
      </w:r>
      <w:r>
        <w:rPr>
          <w:rFonts w:hint="eastAsia" w:ascii="宋体" w:hAnsi="宋体" w:eastAsia="宋体"/>
          <w:b/>
          <w:sz w:val="36"/>
          <w:szCs w:val="36"/>
          <w:lang w:eastAsia="zh-CN"/>
        </w:rPr>
        <w:t>书号</w:t>
      </w:r>
      <w:r>
        <w:rPr>
          <w:rFonts w:hint="eastAsia"/>
          <w:b/>
          <w:sz w:val="36"/>
          <w:szCs w:val="36"/>
          <w:lang w:val="en-US" w:eastAsia="zh-CN"/>
        </w:rPr>
        <w:t>UK20250714</w:t>
      </w:r>
      <w:r>
        <w:rPr>
          <w:rFonts w:hint="eastAsia"/>
          <w:sz w:val="44"/>
          <w:szCs w:val="44"/>
          <w:lang w:val="en-US" w:eastAsia="zh-CN"/>
        </w:rPr>
        <w:t xml:space="preserve">  </w:t>
      </w:r>
    </w:p>
    <w:p>
      <w:pPr>
        <w:pStyle w:val="8"/>
        <w:ind w:left="360" w:firstLine="0" w:firstLineChars="0"/>
        <w:jc w:val="left"/>
        <w:rPr>
          <w:sz w:val="24"/>
          <w:szCs w:val="24"/>
        </w:rPr>
      </w:pPr>
    </w:p>
    <w:p>
      <w:pPr>
        <w:pStyle w:val="8"/>
        <w:ind w:left="360" w:firstLine="0" w:firstLineChars="0"/>
        <w:jc w:val="center"/>
        <w:rPr>
          <w:b/>
          <w:sz w:val="28"/>
          <w:szCs w:val="28"/>
        </w:rPr>
      </w:pPr>
      <w:r>
        <w:rPr>
          <w:rFonts w:hint="eastAsia"/>
          <w:b/>
          <w:sz w:val="36"/>
          <w:szCs w:val="36"/>
          <w:lang w:eastAsia="zh-CN"/>
        </w:rPr>
        <w:t>协议号码</w:t>
      </w:r>
      <w:r>
        <w:rPr>
          <w:b/>
          <w:sz w:val="28"/>
          <w:szCs w:val="28"/>
        </w:rPr>
        <w:t>:</w:t>
      </w:r>
    </w:p>
    <w:p>
      <w:pPr>
        <w:pStyle w:val="8"/>
        <w:ind w:left="360" w:firstLine="0" w:firstLineChars="0"/>
        <w:jc w:val="center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UK20250714 </w:t>
      </w:r>
    </w:p>
    <w:p>
      <w:pPr>
        <w:pStyle w:val="8"/>
        <w:ind w:left="360" w:firstLine="0" w:firstLineChars="0"/>
        <w:jc w:val="center"/>
        <w:rPr>
          <w:rFonts w:ascii="宋体" w:hAnsi="宋体" w:eastAsia="宋体"/>
          <w:b/>
          <w:sz w:val="32"/>
          <w:szCs w:val="32"/>
          <w:u w:val="single"/>
        </w:rPr>
      </w:pPr>
      <w:r>
        <w:rPr>
          <w:rFonts w:hint="eastAsia" w:ascii="宋体" w:hAnsi="宋体" w:eastAsia="宋体"/>
          <w:b/>
          <w:sz w:val="32"/>
          <w:szCs w:val="32"/>
          <w:u w:val="single"/>
          <w:lang w:eastAsia="zh-CN"/>
        </w:rPr>
        <w:t>台湾</w:t>
      </w:r>
      <w:r>
        <w:rPr>
          <w:rFonts w:hint="eastAsia" w:ascii="宋体" w:hAnsi="宋体" w:eastAsia="宋体"/>
          <w:b/>
          <w:sz w:val="32"/>
          <w:szCs w:val="32"/>
          <w:u w:val="single"/>
        </w:rPr>
        <w:t>地区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hint="eastAsia" w:ascii="宋体" w:hAnsi="宋体" w:eastAsia="宋体"/>
          <w:b/>
          <w:sz w:val="32"/>
          <w:szCs w:val="32"/>
          <w:u w:val="single"/>
        </w:rPr>
        <w:t>产品渠道</w:t>
      </w:r>
    </w:p>
    <w:p>
      <w:pPr>
        <w:pStyle w:val="8"/>
        <w:ind w:left="360" w:firstLine="0" w:firstLineChars="0"/>
        <w:jc w:val="center"/>
        <w:rPr>
          <w:rFonts w:ascii="宋体" w:hAnsi="宋体" w:eastAsia="宋体"/>
          <w:sz w:val="32"/>
          <w:szCs w:val="32"/>
          <w:u w:val="single"/>
        </w:rPr>
      </w:pPr>
      <w:r>
        <w:rPr>
          <w:rFonts w:hint="eastAsia" w:ascii="宋体" w:hAnsi="宋体" w:eastAsia="宋体"/>
          <w:b/>
          <w:sz w:val="32"/>
          <w:szCs w:val="32"/>
          <w:u w:val="single"/>
        </w:rPr>
        <w:t>代理授权临时协议</w:t>
      </w:r>
    </w:p>
    <w:p>
      <w:pPr>
        <w:rPr>
          <w:szCs w:val="21"/>
        </w:rPr>
      </w:pP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签约日期：</w:t>
      </w:r>
    </w:p>
    <w:p>
      <w:pPr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本协议各方如下：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甲方为以下所述中国广东注册企业法人：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  <w:lang w:eastAsia="zh-CN"/>
        </w:rPr>
        <w:t>信德成（中国）实业有限公司</w:t>
      </w:r>
      <w:r>
        <w:rPr>
          <w:rFonts w:hint="eastAsia" w:ascii="宋体" w:hAnsi="宋体" w:eastAsia="宋体"/>
          <w:sz w:val="24"/>
          <w:szCs w:val="24"/>
        </w:rPr>
        <w:t>，公司注册编码</w:t>
      </w:r>
      <w:r>
        <w:rPr>
          <w:rFonts w:hint="eastAsia" w:ascii="宋体" w:hAnsi="宋体" w:eastAsia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     </w:t>
      </w:r>
      <w:r>
        <w:rPr>
          <w:rFonts w:hint="eastAsia" w:ascii="宋体" w:hAnsi="宋体" w:eastAsia="宋体"/>
          <w:sz w:val="24"/>
          <w:szCs w:val="24"/>
        </w:rPr>
        <w:t>，地址：佛山市顺德区龙江镇宝涌工业大道西区一路8号万洋众创城二期B2栋101A（以下简称“甲方”）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乙方为以下所述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     </w:t>
      </w:r>
      <w:r>
        <w:rPr>
          <w:rFonts w:hint="eastAsia" w:ascii="宋体" w:hAnsi="宋体" w:eastAsia="宋体"/>
          <w:sz w:val="24"/>
          <w:szCs w:val="24"/>
        </w:rPr>
        <w:t>注册企业法人：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     </w:t>
      </w:r>
      <w:r>
        <w:rPr>
          <w:rFonts w:hint="eastAsia" w:ascii="宋体" w:hAnsi="宋体" w:eastAsia="宋体"/>
          <w:sz w:val="24"/>
          <w:szCs w:val="24"/>
        </w:rPr>
        <w:t xml:space="preserve">，公司注册号：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         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，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联系地址 </w:t>
      </w:r>
      <w:r>
        <w:rPr>
          <w:rFonts w:ascii="宋体" w:hAnsi="宋体" w:eastAsia="宋体"/>
          <w:sz w:val="24"/>
          <w:szCs w:val="24"/>
        </w:rPr>
        <w:t xml:space="preserve">                                         </w:t>
      </w:r>
      <w:r>
        <w:rPr>
          <w:rFonts w:hint="eastAsia" w:ascii="宋体" w:hAnsi="宋体" w:eastAsia="宋体"/>
          <w:sz w:val="24"/>
          <w:szCs w:val="24"/>
        </w:rPr>
        <w:t>（以下简称“乙方”）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Arial" w:hAnsi="Arial" w:eastAsia="宋体" w:cs="Arial"/>
          <w:sz w:val="24"/>
          <w:szCs w:val="24"/>
        </w:rPr>
      </w:pPr>
      <w:bookmarkStart w:id="0" w:name="_GoBack"/>
      <w:bookmarkEnd w:id="0"/>
    </w:p>
    <w:p>
      <w:pPr>
        <w:rPr>
          <w:rFonts w:ascii="Arial" w:hAnsi="Arial" w:eastAsia="宋体" w:cs="Arial"/>
          <w:sz w:val="24"/>
          <w:szCs w:val="24"/>
        </w:rPr>
      </w:pPr>
    </w:p>
    <w:p>
      <w:pPr>
        <w:rPr>
          <w:rFonts w:ascii="Arial" w:hAnsi="Arial" w:eastAsia="宋体" w:cs="Arial"/>
          <w:sz w:val="24"/>
          <w:szCs w:val="24"/>
        </w:rPr>
      </w:pPr>
      <w:r>
        <w:rPr>
          <w:rFonts w:hint="eastAsia" w:ascii="Arial" w:hAnsi="Arial" w:eastAsia="宋体" w:cs="Arial"/>
          <w:sz w:val="24"/>
          <w:szCs w:val="24"/>
        </w:rPr>
        <w:t>前序：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pacing w:after="0"/>
        <w:jc w:val="both"/>
        <w:rPr>
          <w:rFonts w:hint="default" w:cs="Arial" w:asciiTheme="minorAscii" w:hAnsiTheme="minorAsci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甲方为本合作協议附件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所述各类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品牌下的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系列建筑材料产品生产厂家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以下統称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产品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”)</w:t>
      </w: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pacing w:after="0"/>
        <w:ind w:leftChars="0"/>
        <w:jc w:val="both"/>
        <w:rPr>
          <w:rFonts w:hint="default" w:cs="Arial" w:asciiTheme="minorAscii" w:hAnsiTheme="minorAsci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乙方为</w:t>
      </w:r>
      <w:r>
        <w:rPr>
          <w:rFonts w:hint="eastAsia" w:ascii="Arial" w:hAnsi="Arial" w:eastAsia="宋体" w:cs="Arial"/>
          <w:color w:val="000000" w:themeColor="text1"/>
          <w:sz w:val="24"/>
          <w:szCs w:val="24"/>
          <w:u w:val="single"/>
          <w:lang w:val="zh-TW" w:eastAsia="zh-CN"/>
          <w14:textFill>
            <w14:solidFill>
              <w14:schemeClr w14:val="tx1"/>
            </w14:solidFill>
          </w14:textFill>
        </w:rPr>
        <w:t>台湾</w:t>
      </w: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当地有能力及有诚信的企业或个人。</w:t>
      </w:r>
    </w:p>
    <w:p>
      <w:pPr>
        <w:spacing w:line="340" w:lineRule="atLeast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pacing w:after="0"/>
        <w:jc w:val="both"/>
        <w:rPr>
          <w:rFonts w:ascii="Arial" w:hAnsi="Arial" w:cs="Arial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乙方希望成为</w:t>
      </w:r>
      <w:r>
        <w:rPr>
          <w:rFonts w:ascii="宋体" w:hAnsi="宋体" w:eastAsia="宋体" w:cs="Arial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Arial"/>
          <w:color w:val="000000" w:themeColor="text1"/>
          <w:sz w:val="24"/>
          <w:szCs w:val="24"/>
          <w:u w:val="single"/>
          <w:lang w:eastAsia="zh-CN"/>
          <w14:textFill>
            <w14:solidFill>
              <w14:schemeClr w14:val="tx1"/>
            </w14:solidFill>
          </w14:textFill>
        </w:rPr>
        <w:t>台湾</w:t>
      </w:r>
      <w:r>
        <w:rPr>
          <w:rFonts w:ascii="宋体" w:hAnsi="宋体" w:eastAsia="宋体" w:cs="Arial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地区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ascii="Arial" w:hAnsi="Arial" w:eastAsia="宋体" w:cs="Arial"/>
          <w:color w:val="000000" w:themeColor="text1"/>
          <w:sz w:val="24"/>
          <w:szCs w:val="24"/>
          <w:u w:val="single"/>
          <w:lang w:val="zh-TW" w:eastAsia="zh-TW"/>
          <w14:textFill>
            <w14:solidFill>
              <w14:schemeClr w14:val="tx1"/>
            </w14:solidFill>
          </w14:textFill>
        </w:rPr>
        <w:t>产品</w:t>
      </w:r>
      <w:r>
        <w:rPr>
          <w:rFonts w:hint="eastAsia" w:ascii="Arial" w:hAnsi="Arial" w:eastAsia="宋体" w:cs="Arial"/>
          <w:color w:val="000000" w:themeColor="text1"/>
          <w:sz w:val="24"/>
          <w:szCs w:val="24"/>
          <w:u w:val="single"/>
          <w:lang w:val="zh-TW"/>
          <w14:textFill>
            <w14:solidFill>
              <w14:schemeClr w14:val="tx1"/>
            </w14:solidFill>
          </w14:textFill>
        </w:rPr>
        <w:t>临时</w:t>
      </w:r>
      <w:r>
        <w:rPr>
          <w:rFonts w:ascii="Arial" w:hAnsi="Arial" w:eastAsia="宋体" w:cs="Arial"/>
          <w:color w:val="000000" w:themeColor="text1"/>
          <w:sz w:val="24"/>
          <w:szCs w:val="24"/>
          <w:u w:val="single"/>
          <w:lang w:val="zh-TW" w:eastAsia="zh-TW"/>
          <w14:textFill>
            <w14:solidFill>
              <w14:schemeClr w14:val="tx1"/>
            </w14:solidFill>
          </w14:textFill>
        </w:rPr>
        <w:t>销售渠道</w:t>
      </w: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代理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>
      <w:pPr>
        <w:spacing w:line="340" w:lineRule="atLeast"/>
        <w:ind w:left="425" w:hanging="425"/>
        <w:rPr>
          <w:rFonts w:ascii="Arial" w:hAnsi="Arial" w:cs="Arial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>
      <w:pPr>
        <w:pStyle w:val="9"/>
        <w:framePr w:wrap="auto" w:vAnchor="margin" w:hAnchor="text" w:yAlign="inline"/>
        <w:spacing w:after="0"/>
        <w:ind w:left="420" w:hanging="420"/>
        <w:jc w:val="both"/>
        <w:rPr>
          <w:rFonts w:ascii="Arial" w:hAnsi="Arial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iv</w:t>
      </w:r>
      <w:r>
        <w:rPr>
          <w:rFonts w:ascii="Arial" w:hAnsi="Arial" w:eastAsia="PMingLiU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.</w:t>
      </w:r>
      <w:r>
        <w:rPr>
          <w:rFonts w:ascii="Arial" w:hAnsi="Arial" w:eastAsia="PMingLiU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甲乙双方已达成共同意愿依据本協议条件委任乙方成为</w:t>
      </w:r>
      <w:r>
        <w:rPr>
          <w:rFonts w:ascii="Arial" w:hAnsi="Arial" w:cs="Arial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u w:val="single"/>
          <w:lang w:eastAsia="zh-CN"/>
          <w14:textFill>
            <w14:solidFill>
              <w14:schemeClr w14:val="tx1"/>
            </w14:solidFill>
          </w14:textFill>
        </w:rPr>
        <w:t>台湾</w:t>
      </w:r>
      <w:r>
        <w:rPr>
          <w:rFonts w:hint="eastAsia" w:ascii="宋体" w:hAnsi="宋体" w:eastAsia="宋体" w:cs="宋体"/>
          <w:color w:val="C0000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地区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ascii="Arial" w:hAnsi="Arial" w:eastAsia="宋体" w:cs="Arial"/>
          <w:color w:val="000000" w:themeColor="text1"/>
          <w:sz w:val="24"/>
          <w:szCs w:val="24"/>
          <w:u w:val="single"/>
          <w:lang w:val="zh-TW" w:eastAsia="zh-TW"/>
          <w14:textFill>
            <w14:solidFill>
              <w14:schemeClr w14:val="tx1"/>
            </w14:solidFill>
          </w14:textFill>
        </w:rPr>
        <w:t>工程产品</w:t>
      </w:r>
      <w:r>
        <w:rPr>
          <w:rFonts w:hint="eastAsia" w:ascii="Arial" w:hAnsi="Arial" w:eastAsia="宋体" w:cs="Arial"/>
          <w:color w:val="000000" w:themeColor="text1"/>
          <w:sz w:val="24"/>
          <w:szCs w:val="24"/>
          <w:u w:val="single"/>
          <w:lang w:val="zh-TW"/>
          <w14:textFill>
            <w14:solidFill>
              <w14:schemeClr w14:val="tx1"/>
            </w14:solidFill>
          </w14:textFill>
        </w:rPr>
        <w:t>临时</w:t>
      </w:r>
      <w:r>
        <w:rPr>
          <w:rFonts w:ascii="Arial" w:hAnsi="Arial" w:eastAsia="宋体" w:cs="Arial"/>
          <w:color w:val="000000" w:themeColor="text1"/>
          <w:sz w:val="24"/>
          <w:szCs w:val="24"/>
          <w:u w:val="single"/>
          <w:lang w:val="zh-TW" w:eastAsia="zh-TW"/>
          <w14:textFill>
            <w14:solidFill>
              <w14:schemeClr w14:val="tx1"/>
            </w14:solidFill>
          </w14:textFill>
        </w:rPr>
        <w:t>销售渠道代理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>
      <w:pPr>
        <w:pStyle w:val="9"/>
        <w:framePr w:wrap="auto" w:vAnchor="margin" w:hAnchor="text" w:yAlign="inline"/>
        <w:spacing w:after="0"/>
        <w:ind w:left="425"/>
        <w:jc w:val="both"/>
        <w:rPr>
          <w:rFonts w:ascii="Arial" w:hAnsi="Arial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</w:pPr>
    </w:p>
    <w:p>
      <w:pPr>
        <w:spacing w:line="340" w:lineRule="atLeast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9"/>
        <w:framePr w:wrap="auto" w:vAnchor="margin" w:hAnchor="text" w:yAlign="inline"/>
        <w:spacing w:after="0"/>
        <w:ind w:left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bCs/>
          <w:color w:val="000000" w:themeColor="text1"/>
          <w:sz w:val="24"/>
          <w:szCs w:val="24"/>
          <w:u w:val="single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经甲乙双方基於互惠互利原则友好</w:t>
      </w:r>
      <w:r>
        <w:rPr>
          <w:rFonts w:ascii="Arial" w:hAnsi="Arial" w:eastAsia="宋体" w:cs="Arial"/>
          <w:b/>
          <w:bCs/>
          <w:color w:val="000000" w:themeColor="text1"/>
          <w:sz w:val="24"/>
          <w:szCs w:val="24"/>
          <w:u w:val="single"/>
          <w:lang w:val="zh-TW" w:eastAsia="zh-TW"/>
          <w14:textFill>
            <w14:solidFill>
              <w14:schemeClr w14:val="tx1"/>
            </w14:solidFill>
          </w14:textFill>
        </w:rPr>
        <w:t>坦诚</w:t>
      </w:r>
      <w:r>
        <w:rPr>
          <w:rFonts w:ascii="Arial" w:hAnsi="Arial" w:eastAsia="宋体" w:cs="Arial"/>
          <w:b/>
          <w:bCs/>
          <w:color w:val="000000" w:themeColor="text1"/>
          <w:sz w:val="24"/>
          <w:szCs w:val="24"/>
          <w:u w:val="single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协商达成以下協议条款细则及方案以供双方共同遵守履行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shd w:val="clear" w:color="auto" w:fill="FFFFFF"/>
          <w14:textFill>
            <w14:solidFill>
              <w14:schemeClr w14:val="tx1"/>
            </w14:solidFill>
          </w14:textFill>
        </w:rPr>
        <w:t>:</w:t>
      </w:r>
    </w:p>
    <w:p>
      <w:pPr>
        <w:pStyle w:val="9"/>
        <w:framePr w:wrap="auto" w:vAnchor="margin" w:hAnchor="text" w:yAlign="inline"/>
        <w:spacing w:after="0"/>
        <w:ind w:left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shd w:val="clear" w:color="auto" w:fill="FFFFFF"/>
          <w14:textFill>
            <w14:solidFill>
              <w14:schemeClr w14:val="tx1"/>
            </w14:solidFill>
          </w14:textFill>
        </w:rPr>
      </w:pPr>
    </w:p>
    <w:p>
      <w:pPr>
        <w:pStyle w:val="9"/>
        <w:framePr w:wrap="auto" w:vAnchor="margin" w:hAnchor="text" w:yAlign="inline"/>
        <w:spacing w:after="0"/>
        <w:ind w:left="0"/>
        <w:jc w:val="both"/>
        <w:rPr>
          <w:rFonts w:ascii="Arial" w:hAnsi="Arial" w:cs="Arial" w:eastAsiaTheme="minorEastAsia"/>
          <w:b/>
          <w:bCs/>
          <w:color w:val="000000" w:themeColor="text1"/>
          <w:sz w:val="24"/>
          <w:szCs w:val="24"/>
          <w:u w:val="singl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 w:eastAsiaTheme="minorEastAsia"/>
          <w:b/>
          <w:bCs/>
          <w:color w:val="000000" w:themeColor="text1"/>
          <w:sz w:val="24"/>
          <w:szCs w:val="24"/>
          <w:u w:val="single"/>
          <w:shd w:val="clear" w:color="auto" w:fill="FFFFFF"/>
          <w14:textFill>
            <w14:solidFill>
              <w14:schemeClr w14:val="tx1"/>
            </w14:solidFill>
          </w14:textFill>
        </w:rPr>
        <w:t>一、合作内容</w:t>
      </w:r>
    </w:p>
    <w:p>
      <w:pPr>
        <w:pStyle w:val="9"/>
        <w:framePr w:wrap="auto" w:vAnchor="margin" w:hAnchor="text" w:yAlign="inline"/>
        <w:spacing w:after="0"/>
        <w:ind w:left="0"/>
        <w:jc w:val="center"/>
        <w:rPr>
          <w:rFonts w:ascii="宋体" w:hAnsi="宋体" w:eastAsia="宋体" w:cs="Arial"/>
          <w:b/>
          <w:bCs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</w:p>
    <w:p>
      <w:pPr>
        <w:pStyle w:val="9"/>
        <w:framePr w:wrap="auto" w:vAnchor="margin" w:hAnchor="text" w:yAlign="inline"/>
        <w:spacing w:after="0"/>
        <w:ind w:left="0"/>
        <w:jc w:val="center"/>
        <w:rPr>
          <w:rFonts w:ascii="宋体" w:hAnsi="宋体" w:eastAsia="宋体" w:cs="Arial"/>
          <w:b/>
          <w:bCs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b/>
          <w:bCs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委任性质，期限及细则</w:t>
      </w:r>
    </w:p>
    <w:p>
      <w:pPr>
        <w:pStyle w:val="9"/>
        <w:framePr w:wrap="auto" w:vAnchor="margin" w:hAnchor="text" w:yAlign="inline"/>
        <w:spacing w:after="0"/>
        <w:ind w:left="0"/>
        <w:jc w:val="center"/>
        <w:rPr>
          <w:rFonts w:ascii="宋体" w:hAnsi="宋体" w:eastAsia="宋体" w:cs="Arial"/>
          <w:b/>
          <w:bCs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</w:p>
    <w:p>
      <w:pPr>
        <w:spacing w:line="340" w:lineRule="atLeast"/>
        <w:jc w:val="both"/>
        <w:rPr>
          <w:rFonts w:hint="eastAsia" w:ascii="Arial" w:hAnsi="Arial" w:cs="Arial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9"/>
        <w:framePr w:wrap="auto" w:vAnchor="margin" w:hAnchor="text" w:yAlign="inline"/>
        <w:numPr>
          <w:ilvl w:val="0"/>
          <w:numId w:val="2"/>
        </w:numPr>
        <w:spacing w:after="0"/>
        <w:jc w:val="both"/>
        <w:rPr>
          <w:rFonts w:ascii="Arial" w:hAnsi="Arial" w:eastAsia="Helvetica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甲</w:t>
      </w:r>
      <w:r>
        <w:rPr>
          <w:rFonts w:hint="eastAsia" w:ascii="Helvetica" w:hAnsi="Helvetica" w:cs="Helvetica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方谨此授权，乙方接受委任为在第3条列明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产品</w:t>
      </w:r>
      <w:r>
        <w:rPr>
          <w:rFonts w:hint="eastAsia" w:ascii="Helvetica" w:hAnsi="Helvetica" w:cs="Helvetica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hint="eastAsia" w:ascii="Helvetica" w:hAnsi="Helvetica" w:cs="Helvetica"/>
          <w:color w:val="000000" w:themeColor="text1"/>
          <w:sz w:val="24"/>
          <w:szCs w:val="24"/>
          <w:u w:val="single"/>
          <w:shd w:val="clear" w:color="auto" w:fill="FFFFFF"/>
          <w14:textFill>
            <w14:solidFill>
              <w14:schemeClr w14:val="tx1"/>
            </w14:solidFill>
          </w14:textFill>
        </w:rPr>
        <w:t>产品渠道</w:t>
      </w:r>
      <w:r>
        <w:rPr>
          <w:rFonts w:hint="eastAsia" w:ascii="Helvetica" w:hAnsi="Helvetica" w:cs="Helvetica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Helvetica" w:hAnsi="Helvetica" w:cs="Helvetica" w:eastAsiaTheme="minorEastAsia"/>
          <w:color w:val="000000" w:themeColor="text1"/>
          <w:sz w:val="24"/>
          <w:szCs w:val="24"/>
          <w:u w:val="single"/>
          <w:shd w:val="clear" w:color="auto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Helvetica" w:hAnsi="Helvetica" w:cs="Helvetica" w:eastAsiaTheme="minorEastAsia"/>
          <w:color w:val="000000" w:themeColor="text1"/>
          <w:sz w:val="24"/>
          <w:szCs w:val="24"/>
          <w:u w:val="single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台湾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(以下简称“</w:t>
      </w:r>
      <w:r>
        <w:rPr>
          <w:rFonts w:hint="eastAsia" w:ascii="Helvetica" w:hAnsi="Helvetica" w:cs="Helvetica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规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定</w:t>
      </w:r>
      <w:r>
        <w:rPr>
          <w:rFonts w:hint="eastAsia" w:ascii="Helvetica" w:hAnsi="Helvetica" w:cs="Helvetica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区域”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临时</w:t>
      </w:r>
      <w:r>
        <w:rPr>
          <w:rFonts w:hint="eastAsia" w:ascii="Helvetica" w:hAnsi="Helvetica" w:cs="Helvetica"/>
          <w:color w:val="000000" w:themeColor="text1"/>
          <w:sz w:val="24"/>
          <w:szCs w:val="24"/>
          <w:u w:val="single"/>
          <w:shd w:val="clear" w:color="auto" w:fill="FFFFFF"/>
          <w14:textFill>
            <w14:solidFill>
              <w14:schemeClr w14:val="tx1"/>
            </w14:solidFill>
          </w14:textFill>
        </w:rPr>
        <w:t>代理</w:t>
      </w:r>
      <w:r>
        <w:rPr>
          <w:rFonts w:hint="eastAsia" w:ascii="Helvetica" w:hAnsi="Helvetica" w:cs="Helvetica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经销商，兼负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u w:val="single"/>
          <w:shd w:val="clear" w:color="auto" w:fill="FFFFFF"/>
          <w14:textFill>
            <w14:solidFill>
              <w14:schemeClr w14:val="tx1"/>
            </w14:solidFill>
          </w14:textFill>
        </w:rPr>
        <w:t>临时</w:t>
      </w:r>
      <w:r>
        <w:rPr>
          <w:rFonts w:hint="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零售产品销售渠道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u w:val="single"/>
          <w:shd w:val="clear" w:color="auto" w:fill="FFFFFF"/>
          <w14:textFill>
            <w14:solidFill>
              <w14:schemeClr w14:val="tx1"/>
            </w14:solidFill>
          </w14:textFill>
        </w:rPr>
        <w:t>临时</w:t>
      </w:r>
      <w:r>
        <w:rPr>
          <w:rFonts w:hint="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批发产品渠道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代理经销</w:t>
      </w:r>
      <w:r>
        <w:rPr>
          <w:rFonts w:hint="eastAsia" w:ascii="Helvetica" w:hAnsi="Helvetica" w:cs="Helvetica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权,</w:t>
      </w:r>
      <w:r>
        <w:rPr>
          <w:rFonts w:hint="eastAsia" w:ascii="Helvetica" w:hAnsi="Helvetica" w:eastAsia="宋体" w:cs="Helvetica"/>
          <w:color w:val="000000" w:themeColor="text1"/>
          <w:sz w:val="24"/>
          <w:szCs w:val="24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因为乙方不是俄罗斯地区的唯一代理，</w:t>
      </w:r>
      <w:r>
        <w:rPr>
          <w:rFonts w:hint="eastAsia" w:ascii="Helvetica" w:hAnsi="Helvetica" w:cs="Helvetica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当甲方的商品</w:t>
      </w:r>
      <w:r>
        <w:rPr>
          <w:rFonts w:hint="eastAsia" w:ascii="Helvetica" w:hAnsi="Helvetica" w:eastAsia="宋体" w:cs="Helvetica"/>
          <w:color w:val="000000" w:themeColor="text1"/>
          <w:sz w:val="24"/>
          <w:szCs w:val="24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通过了第三方渠道转卖到英国，这是甲方不能控制的，这个不属于甲方的责任。</w:t>
      </w:r>
    </w:p>
    <w:p>
      <w:pPr>
        <w:pStyle w:val="9"/>
        <w:framePr w:wrap="auto" w:vAnchor="margin" w:hAnchor="text" w:yAlign="inline"/>
        <w:tabs>
          <w:tab w:val="left" w:pos="425"/>
        </w:tabs>
        <w:spacing w:after="0"/>
        <w:ind w:left="0"/>
        <w:jc w:val="both"/>
        <w:rPr>
          <w:rFonts w:ascii="宋体" w:hAnsi="宋体" w:eastAsia="宋体" w:cs="Helvetica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</w:pPr>
    </w:p>
    <w:p>
      <w:pPr>
        <w:spacing w:line="340" w:lineRule="atLeast"/>
        <w:jc w:val="left"/>
        <w:rPr>
          <w:rFonts w:ascii="Calibri" w:hAnsi="Calibri" w:eastAsia="宋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9"/>
        <w:framePr w:wrap="auto" w:vAnchor="margin" w:hAnchor="text" w:yAlign="inline"/>
        <w:numPr>
          <w:ilvl w:val="0"/>
          <w:numId w:val="2"/>
        </w:numPr>
        <w:spacing w:after="0"/>
        <w:jc w:val="both"/>
        <w:rPr>
          <w:rFonts w:ascii="Arial" w:hAnsi="Arial" w:eastAsia="Helvetica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乙方在本协议下所</w:t>
      </w: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代理经销</w:t>
      </w: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产品</w:t>
      </w: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是指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品牌下的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系列产品以及包括以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品牌或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所属集团或分公司生产和市场化的其他属于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公司品牌的产品。</w:t>
      </w:r>
    </w:p>
    <w:p>
      <w:pPr>
        <w:spacing w:line="340" w:lineRule="atLeast"/>
        <w:jc w:val="left"/>
        <w:rPr>
          <w:rFonts w:hint="default" w:cs="Arial" w:asciiTheme="minorAscii" w:hAnsiTheme="minorAscii"/>
          <w:color w:val="auto"/>
          <w:sz w:val="22"/>
          <w:szCs w:val="22"/>
          <w:u w:color="000000"/>
        </w:rPr>
      </w:pPr>
    </w:p>
    <w:p>
      <w:pPr>
        <w:numPr>
          <w:ilvl w:val="0"/>
          <w:numId w:val="2"/>
        </w:numPr>
        <w:spacing w:line="340" w:lineRule="atLeast"/>
        <w:jc w:val="left"/>
        <w:rPr>
          <w:rFonts w:ascii="Arial" w:hAnsi="Arial" w:eastAsia="宋体" w:cs="Arial"/>
          <w:color w:val="auto"/>
          <w:kern w:val="0"/>
          <w:sz w:val="24"/>
          <w:szCs w:val="24"/>
          <w:u w:color="000000"/>
          <w:shd w:val="clear" w:color="auto" w:fill="FFFFFF"/>
        </w:rPr>
      </w:pPr>
      <w:r>
        <w:rPr>
          <w:rFonts w:hint="eastAsia" w:ascii="Arial" w:hAnsi="Arial" w:eastAsia="宋体" w:cs="Arial"/>
          <w:color w:val="auto"/>
          <w:kern w:val="0"/>
          <w:sz w:val="24"/>
          <w:szCs w:val="24"/>
          <w:u w:color="000000"/>
          <w:shd w:val="clear" w:color="auto" w:fill="FFFFFF"/>
        </w:rPr>
        <w:t>按协议规定乙方仅能销售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hint="eastAsia" w:ascii="Arial" w:hAnsi="Arial" w:eastAsia="宋体" w:cs="Arial"/>
          <w:color w:val="auto"/>
          <w:kern w:val="0"/>
          <w:sz w:val="24"/>
          <w:szCs w:val="24"/>
          <w:u w:color="000000"/>
          <w:shd w:val="clear" w:color="auto" w:fill="FFFFFF"/>
        </w:rPr>
        <w:t>产品，不能销售其他品牌类似</w:t>
      </w:r>
      <w:r>
        <w:rPr>
          <w:rFonts w:hint="eastAsia" w:ascii="宋体" w:hAnsi="宋体" w:eastAsia="宋体"/>
          <w:b/>
          <w:sz w:val="32"/>
          <w:szCs w:val="32"/>
          <w:u w:val="single"/>
          <w:lang w:val="en-US" w:eastAsia="zh-CN"/>
        </w:rPr>
        <w:t>SANTERSON</w:t>
      </w:r>
      <w:r>
        <w:rPr>
          <w:rFonts w:hint="eastAsia" w:ascii="Arial" w:hAnsi="Arial" w:eastAsia="宋体" w:cs="Arial"/>
          <w:color w:val="auto"/>
          <w:kern w:val="0"/>
          <w:sz w:val="24"/>
          <w:szCs w:val="24"/>
          <w:u w:color="000000"/>
          <w:shd w:val="clear" w:color="auto" w:fill="FFFFFF"/>
        </w:rPr>
        <w:t xml:space="preserve"> 的产品</w:t>
      </w:r>
    </w:p>
    <w:p>
      <w:pPr>
        <w:spacing w:line="340" w:lineRule="atLeast"/>
        <w:jc w:val="left"/>
        <w:rPr>
          <w:rFonts w:ascii="Arial" w:hAnsi="Arial" w:eastAsia="宋体" w:cs="Arial"/>
          <w:color w:val="000000" w:themeColor="text1"/>
          <w:kern w:val="0"/>
          <w:sz w:val="24"/>
          <w:szCs w:val="24"/>
          <w:u w:color="000000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auto"/>
          <w:kern w:val="0"/>
          <w:sz w:val="24"/>
          <w:szCs w:val="24"/>
          <w:u w:color="000000"/>
          <w:shd w:val="clear" w:color="auto" w:fill="FFFFFF"/>
        </w:rPr>
        <w:t xml:space="preserve">   </w:t>
      </w:r>
      <w:r>
        <w:rPr>
          <w:rFonts w:hint="eastAsia" w:ascii="Arial" w:hAnsi="Arial" w:eastAsia="宋体" w:cs="Arial"/>
          <w:color w:val="000000" w:themeColor="text1"/>
          <w:kern w:val="0"/>
          <w:sz w:val="24"/>
          <w:szCs w:val="24"/>
          <w:u w:color="000000"/>
          <w:shd w:val="clear" w:color="auto" w:fill="FFFFFF"/>
          <w14:textFill>
            <w14:solidFill>
              <w14:schemeClr w14:val="tx1"/>
            </w14:solidFill>
          </w14:textFill>
        </w:rPr>
        <w:t xml:space="preserve">   </w:t>
      </w:r>
    </w:p>
    <w:p>
      <w:pPr>
        <w:spacing w:line="340" w:lineRule="atLeast"/>
        <w:jc w:val="left"/>
        <w:rPr>
          <w:rFonts w:ascii="Calibri" w:hAnsi="Calibri" w:eastAsia="宋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9"/>
        <w:framePr w:wrap="auto" w:vAnchor="margin" w:hAnchor="text" w:yAlign="inline"/>
        <w:numPr>
          <w:ilvl w:val="0"/>
          <w:numId w:val="2"/>
        </w:numPr>
        <w:spacing w:after="0"/>
        <w:ind w:left="439" w:leftChars="0" w:hanging="439" w:firstLineChars="0"/>
        <w:jc w:val="both"/>
        <w:rPr>
          <w:rFonts w:ascii="Calibri" w:hAnsi="Calibri" w:eastAsia="宋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auto"/>
          <w:sz w:val="24"/>
          <w:szCs w:val="24"/>
          <w:lang w:val="zh-TW" w:eastAsia="zh-TW"/>
        </w:rPr>
        <w:t>甲乙双方</w:t>
      </w:r>
      <w:r>
        <w:rPr>
          <w:rFonts w:ascii="Arial" w:hAnsi="Arial" w:eastAsia="宋体" w:cs="Arial"/>
          <w:color w:val="auto"/>
          <w:sz w:val="24"/>
          <w:szCs w:val="24"/>
          <w:shd w:val="clear" w:color="auto" w:fill="FFFFFF"/>
          <w:lang w:val="zh-TW" w:eastAsia="zh-TW"/>
        </w:rPr>
        <w:t>谨此确认除本</w:t>
      </w:r>
      <w:r>
        <w:rPr>
          <w:rFonts w:hint="eastAsia" w:ascii="Arial" w:hAnsi="Arial" w:eastAsia="宋体" w:cs="Arial"/>
          <w:color w:val="auto"/>
          <w:sz w:val="24"/>
          <w:szCs w:val="24"/>
          <w:shd w:val="clear" w:color="auto" w:fill="FFFFFF"/>
          <w:lang w:val="zh-TW" w:eastAsia="zh-TW"/>
        </w:rPr>
        <w:t>临时</w:t>
      </w:r>
      <w:r>
        <w:rPr>
          <w:rFonts w:ascii="Arial" w:hAnsi="Arial" w:eastAsia="宋体" w:cs="Arial"/>
          <w:color w:val="auto"/>
          <w:sz w:val="24"/>
          <w:szCs w:val="24"/>
          <w:shd w:val="clear" w:color="auto" w:fill="FFFFFF"/>
          <w:lang w:val="zh-TW" w:eastAsia="zh-TW"/>
        </w:rPr>
        <w:t>协议因发生本协议</w:t>
      </w:r>
      <w:r>
        <w:rPr>
          <w:rFonts w:ascii="Arial" w:hAnsi="Arial" w:eastAsia="宋体" w:cs="Arial"/>
          <w:color w:val="auto"/>
          <w:sz w:val="24"/>
          <w:szCs w:val="24"/>
          <w:lang w:val="zh-TW" w:eastAsia="zh-TW"/>
        </w:rPr>
        <w:t>条文</w:t>
      </w:r>
      <w:r>
        <w:rPr>
          <w:rFonts w:ascii="Arial" w:hAnsi="Arial" w:eastAsia="宋体" w:cs="Arial"/>
          <w:color w:val="auto"/>
          <w:sz w:val="24"/>
          <w:szCs w:val="24"/>
          <w:shd w:val="clear" w:color="auto" w:fill="FFFFFF"/>
          <w:lang w:val="zh-TW" w:eastAsia="zh-TW"/>
        </w:rPr>
        <w:t>所述违约情形而提前结束失效之外，乙方以上所述的授权委任期为</w:t>
      </w:r>
      <w:r>
        <w:rPr>
          <w:rFonts w:ascii="Arial" w:hAnsi="Arial" w:cs="Arial"/>
          <w:color w:val="auto"/>
          <w:sz w:val="24"/>
          <w:szCs w:val="24"/>
          <w:u w:val="single"/>
          <w:shd w:val="clear" w:color="auto" w:fill="FFFFFF"/>
        </w:rPr>
        <w:t xml:space="preserve"> </w:t>
      </w:r>
      <w:r>
        <w:rPr>
          <w:rFonts w:hint="eastAsia" w:ascii="宋体" w:hAnsi="宋体" w:eastAsia="宋体" w:cs="宋体"/>
          <w:color w:val="auto"/>
          <w:sz w:val="24"/>
          <w:szCs w:val="24"/>
          <w:u w:val="single"/>
          <w:shd w:val="clear" w:color="auto" w:fill="FFFFFF"/>
          <w:lang w:val="en-US" w:eastAsia="zh-CN"/>
        </w:rPr>
        <w:t>12</w:t>
      </w:r>
      <w:r>
        <w:rPr>
          <w:rFonts w:ascii="Arial" w:hAnsi="Arial" w:cs="Arial"/>
          <w:color w:val="auto"/>
          <w:sz w:val="24"/>
          <w:szCs w:val="24"/>
          <w:u w:val="single"/>
          <w:shd w:val="clear" w:color="auto" w:fill="FFFFFF"/>
        </w:rPr>
        <w:t xml:space="preserve"> </w:t>
      </w:r>
      <w:r>
        <w:rPr>
          <w:rFonts w:hint="eastAsia" w:ascii="Arial" w:hAnsi="Arial" w:eastAsia="宋体" w:cs="Arial"/>
          <w:color w:val="auto"/>
          <w:sz w:val="24"/>
          <w:szCs w:val="24"/>
          <w:shd w:val="clear" w:color="auto" w:fill="FFFFFF"/>
          <w:lang w:val="zh-TW"/>
        </w:rPr>
        <w:t>个月</w:t>
      </w:r>
      <w:r>
        <w:rPr>
          <w:rFonts w:ascii="Arial" w:hAnsi="Arial" w:eastAsia="宋体" w:cs="Arial"/>
          <w:color w:val="auto"/>
          <w:sz w:val="24"/>
          <w:szCs w:val="24"/>
          <w:shd w:val="clear" w:color="auto" w:fill="FFFFFF"/>
          <w:lang w:val="zh-TW" w:eastAsia="zh-TW"/>
        </w:rPr>
        <w:t>，从</w:t>
      </w:r>
      <w:r>
        <w:rPr>
          <w:rFonts w:ascii="Arial" w:hAnsi="Arial" w:cs="Arial"/>
          <w:color w:val="auto"/>
          <w:sz w:val="24"/>
          <w:szCs w:val="24"/>
          <w:u w:val="single"/>
          <w:shd w:val="clear" w:color="auto" w:fill="FFFFFF"/>
        </w:rPr>
        <w:t xml:space="preserve"> </w:t>
      </w:r>
      <w:r>
        <w:rPr>
          <w:rFonts w:hint="eastAsia" w:ascii="Arial" w:hAnsi="Arial" w:eastAsia="宋体" w:cs="Arial"/>
          <w:color w:val="auto"/>
          <w:sz w:val="24"/>
          <w:szCs w:val="24"/>
          <w:u w:val="single"/>
          <w:shd w:val="clear" w:color="auto" w:fill="FFFFFF"/>
          <w:lang w:val="en-US" w:eastAsia="zh-CN"/>
        </w:rPr>
        <w:t>2025年</w:t>
      </w:r>
      <w:r>
        <w:rPr>
          <w:rFonts w:hint="eastAsia" w:ascii="Arial" w:hAnsi="Arial" w:cs="Arial" w:eastAsiaTheme="minorEastAsia"/>
          <w:color w:val="auto"/>
          <w:sz w:val="24"/>
          <w:szCs w:val="24"/>
          <w:u w:val="single"/>
          <w:shd w:val="clear" w:color="auto" w:fill="FFFFFF"/>
          <w:lang w:val="en-US" w:eastAsia="zh-CN"/>
        </w:rPr>
        <w:t>7月14号</w:t>
      </w:r>
      <w:r>
        <w:rPr>
          <w:rFonts w:ascii="Arial" w:hAnsi="Arial" w:cs="Arial"/>
          <w:color w:val="auto"/>
          <w:sz w:val="24"/>
          <w:szCs w:val="24"/>
          <w:u w:val="single"/>
          <w:shd w:val="clear" w:color="auto" w:fill="FFFFFF"/>
        </w:rPr>
        <w:t>,</w:t>
      </w:r>
      <w:r>
        <w:rPr>
          <w:rFonts w:ascii="Arial" w:hAnsi="Arial" w:eastAsia="宋体" w:cs="Arial"/>
          <w:color w:val="auto"/>
          <w:sz w:val="24"/>
          <w:szCs w:val="24"/>
          <w:u w:val="single"/>
          <w:shd w:val="clear" w:color="auto" w:fill="FFFFFF"/>
        </w:rPr>
        <w:t xml:space="preserve">  </w:t>
      </w:r>
      <w:r>
        <w:rPr>
          <w:rFonts w:ascii="Arial" w:hAnsi="Arial" w:cs="Arial"/>
          <w:color w:val="auto"/>
          <w:sz w:val="24"/>
          <w:szCs w:val="24"/>
          <w:u w:val="single"/>
          <w:shd w:val="clear" w:color="auto" w:fill="FFFFFF"/>
        </w:rPr>
        <w:t xml:space="preserve"> </w:t>
      </w:r>
      <w:r>
        <w:rPr>
          <w:rFonts w:ascii="Arial" w:hAnsi="Arial" w:eastAsia="宋体" w:cs="Arial"/>
          <w:color w:val="auto"/>
          <w:sz w:val="24"/>
          <w:szCs w:val="24"/>
          <w:shd w:val="clear" w:color="auto" w:fill="FFFFFF"/>
          <w:lang w:val="zh-TW" w:eastAsia="zh-TW"/>
        </w:rPr>
        <w:t xml:space="preserve"> 开始直到 </w:t>
      </w:r>
      <w:r>
        <w:rPr>
          <w:rFonts w:ascii="Arial" w:hAnsi="Arial" w:cs="Arial"/>
          <w:color w:val="auto"/>
          <w:sz w:val="24"/>
          <w:szCs w:val="24"/>
          <w:u w:val="single"/>
          <w:shd w:val="clear" w:color="auto" w:fill="FFFFFF"/>
        </w:rPr>
        <w:t xml:space="preserve">  </w:t>
      </w:r>
      <w:r>
        <w:rPr>
          <w:rFonts w:hint="eastAsia" w:ascii="Arial" w:hAnsi="Arial" w:eastAsia="宋体" w:cs="Arial"/>
          <w:color w:val="auto"/>
          <w:sz w:val="24"/>
          <w:szCs w:val="24"/>
          <w:u w:val="single"/>
          <w:shd w:val="clear" w:color="auto" w:fill="FFFFFF"/>
          <w:lang w:val="en-US" w:eastAsia="zh-CN"/>
        </w:rPr>
        <w:t>2026年</w:t>
      </w:r>
      <w:r>
        <w:rPr>
          <w:rFonts w:hint="eastAsia" w:ascii="Arial" w:hAnsi="Arial" w:cs="Arial" w:eastAsiaTheme="minorEastAsia"/>
          <w:color w:val="auto"/>
          <w:sz w:val="24"/>
          <w:szCs w:val="24"/>
          <w:u w:val="single"/>
          <w:shd w:val="clear" w:color="auto" w:fill="FFFFFF"/>
          <w:lang w:val="en-US" w:eastAsia="zh-CN"/>
        </w:rPr>
        <w:t>7月14号</w:t>
      </w:r>
      <w:r>
        <w:rPr>
          <w:rFonts w:ascii="Arial" w:hAnsi="Arial" w:cs="Arial"/>
          <w:color w:val="auto"/>
          <w:sz w:val="24"/>
          <w:szCs w:val="24"/>
          <w:u w:val="single"/>
          <w:shd w:val="clear" w:color="auto" w:fill="FFFFFF"/>
        </w:rPr>
        <w:t xml:space="preserve">  </w:t>
      </w:r>
      <w:r>
        <w:rPr>
          <w:rFonts w:ascii="Arial" w:hAnsi="Arial" w:eastAsia="宋体" w:cs="Arial"/>
          <w:color w:val="auto"/>
          <w:sz w:val="24"/>
          <w:szCs w:val="24"/>
          <w:shd w:val="clear" w:color="auto" w:fill="FFFFFF"/>
          <w:lang w:val="zh-TW" w:eastAsia="zh-TW"/>
        </w:rPr>
        <w:t>终止。</w:t>
      </w:r>
    </w:p>
    <w:p>
      <w:pPr>
        <w:spacing w:line="340" w:lineRule="atLeast"/>
        <w:jc w:val="left"/>
        <w:rPr>
          <w:rFonts w:ascii="Calibri" w:hAnsi="Calibri" w:eastAsia="宋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9"/>
        <w:framePr w:wrap="auto" w:vAnchor="margin" w:hAnchor="text" w:yAlign="inline"/>
        <w:numPr>
          <w:ilvl w:val="0"/>
          <w:numId w:val="2"/>
        </w:numPr>
        <w:tabs>
          <w:tab w:val="clear" w:pos="425"/>
        </w:tabs>
        <w:spacing w:after="0"/>
        <w:ind w:left="439" w:leftChars="0" w:hanging="439" w:firstLineChars="0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如乙方要求延长以上所述的授权委任期限，乙方必须在本协议以上所述终止日期至少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3</w:t>
      </w: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个月前以书面提出续延要求，甲方收获乙方书面续延要求后</w:t>
      </w: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双</w:t>
      </w: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方应共同协商协议的续延条件，如</w:t>
      </w:r>
      <w:r>
        <w:rPr>
          <w:rFonts w:ascii="Arial" w:hAnsi="Arial" w:eastAsia="宋体" w:cs="Arial"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双</w:t>
      </w: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方未达成一致续延则本协议在有效期截止日自动终止。</w:t>
      </w:r>
    </w:p>
    <w:p>
      <w:pPr>
        <w:spacing w:line="340" w:lineRule="atLeast"/>
        <w:jc w:val="left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8"/>
        <w:numPr>
          <w:ilvl w:val="0"/>
          <w:numId w:val="2"/>
        </w:numPr>
        <w:spacing w:line="340" w:lineRule="atLeast"/>
        <w:ind w:firstLineChars="0"/>
        <w:jc w:val="left"/>
        <w:rPr>
          <w:rFonts w:ascii="宋体" w:hAnsi="宋体" w:eastAsia="宋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乙方要成为代理要符合以下条件，第一条是乙方一年要向甲方购买</w:t>
      </w: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35000 平方米数量的产品，产品款式没有限制。第二条是乙方需要在当地拥有超过建筑200平方米的展示甲方产品的展厅，可以不显示甲方商标，只显示乙方商标。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二、甲方对乙方的要求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 资质要求：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(1)乙方需为合法注册的企业，具备独立法人资格，经营范围包含建材销售或相关业务。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(2)拥有良好的商业信誉，无重大违法违规记录及不良合作纠纷。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 展厅要求：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(1)乙方需在代理区域核心商圈或建材市场设立专属展厅，面积不低于200平方米。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(2)展厅需按照甲方统一的VI形象标准进行装修，展示甲方产品的样品及应用案例。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 订单与销售要求：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(1)首次订单：乙方需在正式合作后30 日内完成首次订单，金额不低于 [XX] 万元。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(2)年度销售额：乙方承诺首年销售额不低于 [XX] 万元，后续每年销售额递增不低于 [XX]%（具体金额可根据区域市场情况协商）。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 团队要求：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(1)乙方需配备至少 [X] 名专职销售人员及 [X] 名技术支持人员，负责产品推广、销售及售后服务。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(2) 销售人员及技术人员需参加甲方组织的产品知识、销售技巧及安装技术培训，并通过考核。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 市场推广：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(1) 乙方需制定年度市场推广计划，每年投入不低于年度销售额 [XX]% 的费用用于区域内的广告宣传、展会参展等推广活动。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(2) 推广活动需符合甲方品牌形象，重大推广方案需提前报甲方备案。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三、甲方为乙方提供的支持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 价格支持：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(1)甲方承诺给予乙方区域总代理级最低供货价，价格体系详见《产品报价单》（作为正式合同附件）。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(2)如遇原材料价格大幅波动，甲方需提前 [XX] 日书面通知乙方调整价格，确保乙方的合理利润空间。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 样板支持：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(1）合作初期，甲方免费提供价值 [XX] 元的产品样板（含各类款式、颜色），供乙方展厅展示及客户体验。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（2） 后续乙方如需补充样板，甲方按成本价提供。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 技术支持：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 甲方派遣专业技术团队，为乙方提供产品安装指导、施工技术培训及售后问题解决方案。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(2) 免费提供产品检测报告、施工手册、宣传手册等技术及营销资料。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 营销支持：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(1) 甲方统一策划全国性品牌推广活动，乙方可同步参与并享受相关资源支持（如广告素材、活动方案模板）。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(2) 对乙方组织的区域性大型推广活动，甲方可根据实际情况提供 [XX]% 的费用补贴（单次补贴上限 [XX] 元）。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 售后支持：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(1)甲方承诺产品质量符合国家相关标准，对非人为损坏的产品提供 [X] 年质保服务。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(2)建立快速响应机制，对乙方反馈的售后问题 [XX] 小时内给予解决方案。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四、意向达成与后续流程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 本意向书为双方合作的初步约定，不具备法律效力。双方需在 [XX] 日内完成尽职调查（包括乙方资质审核、展厅选址评估等）。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 若调查通过，双方应在 [XX] 日内签订正式《区域总代理合同》，明确合作细节、权利义务及违约责任。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 本意向书一式两份，甲乙双方各执一份，自双方签字盖章之日起生效。</w:t>
      </w:r>
    </w:p>
    <w:p>
      <w:pPr>
        <w:pStyle w:val="8"/>
        <w:widowControl w:val="0"/>
        <w:numPr>
          <w:ilvl w:val="0"/>
          <w:numId w:val="0"/>
        </w:numPr>
        <w:tabs>
          <w:tab w:val="left" w:pos="425"/>
        </w:tabs>
        <w:spacing w:line="340" w:lineRule="atLeast"/>
        <w:jc w:val="left"/>
        <w:rPr>
          <w:rFonts w:hint="eastAsia" w:ascii="宋体" w:hAnsi="宋体" w:eastAsia="宋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tabs>
          <w:tab w:val="left" w:pos="425"/>
        </w:tabs>
        <w:spacing w:line="340" w:lineRule="atLeast"/>
        <w:ind w:left="480" w:hanging="480" w:hangingChars="200"/>
        <w:rPr>
          <w:rFonts w:hint="default" w:eastAsia="宋体" w:cs="Arial" w:asciiTheme="minorAscii" w:hAnsiTheme="minorAsci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Arial" w:asciiTheme="minorAscii" w:hAnsiTheme="minorAsci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</w:p>
    <w:p>
      <w:pPr>
        <w:spacing w:line="340" w:lineRule="atLeast"/>
        <w:jc w:val="left"/>
        <w:rPr>
          <w:rFonts w:hint="eastAsia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spacing w:line="340" w:lineRule="atLeast"/>
        <w:jc w:val="left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12"/>
        <w:framePr w:wrap="auto" w:vAnchor="margin" w:hAnchor="text" w:yAlign="inline"/>
        <w:spacing w:after="0"/>
        <w:rPr>
          <w:rFonts w:ascii="Arial" w:hAnsi="Arial" w:eastAsia="宋体" w:cs="Arial"/>
          <w:b/>
          <w:bCs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bCs/>
          <w:color w:val="000000" w:themeColor="text1"/>
          <w:sz w:val="24"/>
          <w:szCs w:val="24"/>
          <w:u w:val="single"/>
          <w:lang w:val="zh-TW" w:eastAsia="zh-TW"/>
          <w14:textFill>
            <w14:solidFill>
              <w14:schemeClr w14:val="tx1"/>
            </w14:solidFill>
          </w14:textFill>
        </w:rPr>
        <w:t>本合同经</w:t>
      </w:r>
      <w:r>
        <w:rPr>
          <w:rFonts w:ascii="Arial" w:hAnsi="Arial" w:eastAsia="宋体" w:cs="Arial"/>
          <w:b/>
          <w:bCs/>
          <w:color w:val="000000" w:themeColor="text1"/>
          <w:sz w:val="24"/>
          <w:szCs w:val="24"/>
          <w:u w:val="single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甲乙双方</w:t>
      </w:r>
      <w:r>
        <w:rPr>
          <w:rFonts w:ascii="Arial" w:hAnsi="Arial" w:eastAsia="宋体" w:cs="Arial"/>
          <w:b/>
          <w:bCs/>
          <w:color w:val="000000" w:themeColor="text1"/>
          <w:sz w:val="24"/>
          <w:szCs w:val="24"/>
          <w:u w:val="single"/>
          <w:lang w:val="zh-TW" w:eastAsia="zh-TW"/>
          <w14:textFill>
            <w14:solidFill>
              <w14:schemeClr w14:val="tx1"/>
            </w14:solidFill>
          </w14:textFill>
        </w:rPr>
        <w:t>协议签章，依法生效</w:t>
      </w:r>
      <w:r>
        <w:rPr>
          <w:rFonts w:ascii="Arial" w:hAnsi="Arial" w:eastAsia="宋体" w:cs="Arial"/>
          <w:b/>
          <w:bCs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>：</w:t>
      </w:r>
    </w:p>
    <w:p>
      <w:pPr>
        <w:pStyle w:val="12"/>
        <w:framePr w:wrap="auto" w:vAnchor="margin" w:hAnchor="text" w:yAlign="inline"/>
        <w:spacing w:after="0"/>
        <w:jc w:val="both"/>
        <w:rPr>
          <w:rFonts w:ascii="Arial" w:hAnsi="Arial" w:eastAsia="宋体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12"/>
        <w:framePr w:wrap="auto" w:vAnchor="margin" w:hAnchor="text" w:yAlign="inline"/>
        <w:spacing w:after="0"/>
        <w:jc w:val="both"/>
        <w:rPr>
          <w:rFonts w:ascii="Arial" w:hAnsi="Arial" w:eastAsia="Helvetica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甲方</w:t>
      </w: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Сторона А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: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:lang w:val="zh-TW" w:eastAsia="zh-TW"/>
          <w14:textFill>
            <w14:solidFill>
              <w14:schemeClr w14:val="tx1"/>
            </w14:solidFill>
          </w14:textFill>
        </w:rPr>
        <w:t>乙方</w:t>
      </w:r>
      <w:r>
        <w:rPr>
          <w:rFonts w:ascii="Arial" w:hAnsi="Arial" w:eastAsia="宋体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Сторона </w:t>
      </w:r>
      <w:r>
        <w:rPr>
          <w:rFonts w:hint="eastAsia" w:ascii="Arial" w:hAnsi="Arial" w:eastAsia="宋体" w:cs="Arial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: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ab/>
      </w:r>
    </w:p>
    <w:p>
      <w:pPr>
        <w:pStyle w:val="12"/>
        <w:framePr w:wrap="auto" w:vAnchor="margin" w:hAnchor="text" w:yAlign="inline"/>
        <w:spacing w:after="0"/>
        <w:ind w:left="5760" w:firstLine="720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</w:p>
    <w:p>
      <w:pPr>
        <w:spacing w:line="340" w:lineRule="atLeast"/>
        <w:rPr>
          <w:rFonts w:ascii="Arial" w:hAnsi="Arial" w:eastAsia="PMingLiU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bCs/>
          <w:color w:val="000000" w:themeColor="text1"/>
          <w:sz w:val="24"/>
          <w:szCs w:val="24"/>
          <w:lang w:val="zh-TW" w:eastAsia="zh-CN"/>
          <w14:textFill>
            <w14:solidFill>
              <w14:schemeClr w14:val="tx1"/>
            </w14:solidFill>
          </w14:textFill>
        </w:rPr>
        <w:t>信德成（中国）实业有限公司</w:t>
      </w:r>
      <w:r>
        <w:rPr>
          <w:rFonts w:ascii="Arial" w:hAnsi="Arial" w:eastAsia="PMingLiU" w:cs="Arial"/>
          <w:b/>
          <w:bCs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eastAsia="PMingLiU" w:cs="Arial"/>
          <w:b/>
          <w:bCs/>
          <w:color w:val="000000" w:themeColor="text1"/>
          <w:sz w:val="24"/>
          <w:szCs w:val="24"/>
          <w:lang w:val="zh-TW" w:eastAsia="zh-TW"/>
          <w14:textFill>
            <w14:solidFill>
              <w14:schemeClr w14:val="tx1"/>
            </w14:solidFill>
          </w14:textFill>
        </w:rPr>
        <w:tab/>
      </w:r>
    </w:p>
    <w:p>
      <w:pPr>
        <w:pStyle w:val="12"/>
        <w:framePr w:wrap="auto" w:vAnchor="margin" w:hAnchor="text" w:yAlign="inline"/>
        <w:spacing w:after="0"/>
        <w:jc w:val="both"/>
        <w:rPr>
          <w:rFonts w:ascii="Arial" w:hAnsi="Arial" w:eastAsia="宋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</w:p>
    <w:p>
      <w:pPr>
        <w:pStyle w:val="12"/>
        <w:framePr w:wrap="auto" w:vAnchor="margin" w:hAnchor="text" w:yAlign="inline"/>
        <w:spacing w:after="0"/>
        <w:jc w:val="both"/>
        <w:rPr>
          <w:rFonts w:hint="eastAsia" w:ascii="Arial" w:hAnsi="Arial" w:eastAsia="宋体" w:cs="Arial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甲方（盖章）：</w:t>
      </w:r>
    </w:p>
    <w:p>
      <w:pPr>
        <w:pStyle w:val="12"/>
        <w:framePr w:wrap="auto" w:vAnchor="margin" w:hAnchor="text" w:yAlign="inline"/>
        <w:spacing w:after="0"/>
        <w:jc w:val="both"/>
        <w:rPr>
          <w:rFonts w:hint="eastAsia" w:ascii="Arial" w:hAnsi="Arial" w:eastAsia="宋体" w:cs="Arial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法定代表人/授权代表（签字）：</w:t>
      </w:r>
    </w:p>
    <w:p>
      <w:pPr>
        <w:pStyle w:val="12"/>
        <w:framePr w:wrap="auto" w:vAnchor="margin" w:hAnchor="text" w:yAlign="inline"/>
        <w:spacing w:after="0"/>
        <w:jc w:val="both"/>
        <w:rPr>
          <w:rFonts w:ascii="Arial" w:hAnsi="Arial" w:eastAsia="宋体" w:cs="Arial"/>
          <w:color w:val="C00000"/>
          <w:sz w:val="24"/>
          <w:szCs w:val="24"/>
          <w:lang w:eastAsia="zh-TW"/>
        </w:rPr>
      </w:pPr>
      <w:r>
        <w:rPr>
          <w:rFonts w:hint="eastAsia" w:ascii="Arial" w:hAnsi="Arial" w:eastAsia="宋体" w:cs="Arial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日期： 年 月 日</w:t>
      </w:r>
      <w:r>
        <w:rPr>
          <w:rFonts w:ascii="Arial" w:hAnsi="Arial" w:eastAsia="宋体" w:cs="Arial"/>
          <w:color w:val="C00000"/>
          <w:sz w:val="24"/>
          <w:szCs w:val="24"/>
        </w:rPr>
        <w:t xml:space="preserve">          </w:t>
      </w:r>
      <w:r>
        <w:rPr>
          <w:rFonts w:ascii="Arial" w:hAnsi="Arial" w:cs="Arial"/>
          <w:color w:val="C00000"/>
          <w:sz w:val="24"/>
          <w:szCs w:val="24"/>
        </w:rPr>
        <w:tab/>
      </w:r>
      <w:r>
        <w:rPr>
          <w:rFonts w:ascii="Arial" w:hAnsi="Arial" w:cs="Arial"/>
          <w:color w:val="C00000"/>
          <w:sz w:val="24"/>
          <w:szCs w:val="24"/>
        </w:rPr>
        <w:t xml:space="preserve">  </w:t>
      </w:r>
      <w:r>
        <w:rPr>
          <w:rFonts w:ascii="Arial" w:hAnsi="Arial" w:cs="Arial"/>
          <w:color w:val="C00000"/>
          <w:sz w:val="24"/>
          <w:szCs w:val="24"/>
        </w:rPr>
        <w:tab/>
      </w:r>
      <w:r>
        <w:rPr>
          <w:rFonts w:ascii="Arial" w:hAnsi="Arial" w:cs="Arial"/>
          <w:color w:val="C00000"/>
        </w:rPr>
        <w:t xml:space="preserve">                                                                                                                                                   </w:t>
      </w:r>
    </w:p>
    <w:p>
      <w:pPr>
        <w:spacing w:line="340" w:lineRule="atLeast"/>
        <w:jc w:val="left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1"/>
          <w:rFonts w:ascii="Arial" w:hAnsi="Arial" w:cs="Arial"/>
          <w:color w:val="C00000"/>
          <w:sz w:val="24"/>
          <w:szCs w:val="24"/>
        </w:rPr>
        <w:tab/>
      </w:r>
      <w:r>
        <w:rPr>
          <w:rStyle w:val="11"/>
          <w:rFonts w:ascii="Arial" w:hAnsi="Arial" w:cs="Arial"/>
          <w:color w:val="C00000"/>
          <w:sz w:val="24"/>
          <w:szCs w:val="24"/>
        </w:rPr>
        <w:tab/>
      </w:r>
      <w:r>
        <w:rPr>
          <w:rStyle w:val="11"/>
          <w:rFonts w:ascii="Arial" w:hAnsi="Arial" w:cs="Arial"/>
          <w:color w:val="C00000"/>
          <w:sz w:val="24"/>
          <w:szCs w:val="24"/>
        </w:rPr>
        <w:tab/>
      </w:r>
      <w:r>
        <w:rPr>
          <w:rStyle w:val="11"/>
          <w:rFonts w:ascii="Arial" w:hAnsi="Arial" w:cs="Arial"/>
          <w:color w:val="C00000"/>
          <w:sz w:val="24"/>
          <w:szCs w:val="24"/>
        </w:rPr>
        <w:tab/>
      </w:r>
      <w:r>
        <w:rPr>
          <w:rStyle w:val="11"/>
          <w:rFonts w:ascii="Arial" w:hAnsi="Arial" w:cs="Arial"/>
          <w:color w:val="C00000"/>
          <w:sz w:val="24"/>
          <w:szCs w:val="24"/>
        </w:rPr>
        <w:tab/>
      </w:r>
      <w:r>
        <w:rPr>
          <w:rStyle w:val="11"/>
          <w:rFonts w:ascii="Arial" w:hAnsi="Arial" w:cs="Arial"/>
          <w:color w:val="C00000"/>
          <w:sz w:val="24"/>
          <w:szCs w:val="24"/>
        </w:rPr>
        <w:tab/>
      </w:r>
      <w:r>
        <w:rPr>
          <w:rStyle w:val="11"/>
          <w:rFonts w:ascii="Arial" w:hAnsi="Arial" w:cs="Arial"/>
          <w:color w:val="C00000"/>
          <w:sz w:val="24"/>
          <w:szCs w:val="24"/>
        </w:rPr>
        <w:tab/>
      </w:r>
      <w:r>
        <w:rPr>
          <w:rStyle w:val="11"/>
          <w:rFonts w:ascii="Arial" w:hAnsi="Arial" w:cs="Arial"/>
          <w:color w:val="C00000"/>
          <w:sz w:val="24"/>
          <w:szCs w:val="24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3BA2A5"/>
    <w:multiLevelType w:val="multilevel"/>
    <w:tmpl w:val="583BA2A5"/>
    <w:lvl w:ilvl="0" w:tentative="0">
      <w:start w:val="1"/>
      <w:numFmt w:val="lowerRoman"/>
      <w:lvlText w:val="%1."/>
      <w:lvlJc w:val="left"/>
      <w:pPr>
        <w:ind w:left="42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425"/>
        </w:tabs>
        <w:ind w:left="840" w:hanging="4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1380" w:hanging="5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1800" w:hanging="5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425"/>
        </w:tabs>
        <w:ind w:left="2220" w:hanging="5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2640" w:hanging="5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3060" w:hanging="5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425"/>
        </w:tabs>
        <w:ind w:left="3480" w:hanging="5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3900" w:hanging="5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583BA2BB"/>
    <w:multiLevelType w:val="multilevel"/>
    <w:tmpl w:val="583BA2B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39" w:hanging="439"/>
      </w:pPr>
      <w:rPr>
        <w:rFonts w:hint="default" w:ascii="Arial" w:hAnsi="Arial" w:cs="Arial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425"/>
        </w:tabs>
        <w:ind w:left="854" w:hanging="43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1274" w:hanging="43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1694" w:hanging="43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425"/>
        </w:tabs>
        <w:ind w:left="2114" w:hanging="43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2534" w:hanging="43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2954" w:hanging="43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425"/>
        </w:tabs>
        <w:ind w:left="3374" w:hanging="43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3794" w:hanging="43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UzMzIyMWY4ZGQ2MGQzMTcwY2YwMDgxY2Q4MDYzNmIifQ=="/>
  </w:docVars>
  <w:rsids>
    <w:rsidRoot w:val="0028098E"/>
    <w:rsid w:val="001636AC"/>
    <w:rsid w:val="001806FA"/>
    <w:rsid w:val="001B1248"/>
    <w:rsid w:val="001C209A"/>
    <w:rsid w:val="001D2D69"/>
    <w:rsid w:val="0028098E"/>
    <w:rsid w:val="002D6CC4"/>
    <w:rsid w:val="00310893"/>
    <w:rsid w:val="0033542C"/>
    <w:rsid w:val="00394D1B"/>
    <w:rsid w:val="0042525C"/>
    <w:rsid w:val="00427DB9"/>
    <w:rsid w:val="004D5A68"/>
    <w:rsid w:val="004E1B56"/>
    <w:rsid w:val="0057213E"/>
    <w:rsid w:val="00692E61"/>
    <w:rsid w:val="00702921"/>
    <w:rsid w:val="007B26C3"/>
    <w:rsid w:val="008627AD"/>
    <w:rsid w:val="00891C13"/>
    <w:rsid w:val="008F041B"/>
    <w:rsid w:val="008F1042"/>
    <w:rsid w:val="009055E7"/>
    <w:rsid w:val="00A64390"/>
    <w:rsid w:val="00C3045B"/>
    <w:rsid w:val="00C47241"/>
    <w:rsid w:val="00C8566D"/>
    <w:rsid w:val="00E210FE"/>
    <w:rsid w:val="00E64A12"/>
    <w:rsid w:val="00E84DD9"/>
    <w:rsid w:val="00EB7123"/>
    <w:rsid w:val="00FA3C40"/>
    <w:rsid w:val="022D4CD2"/>
    <w:rsid w:val="0D253B31"/>
    <w:rsid w:val="19DD67A7"/>
    <w:rsid w:val="27791388"/>
    <w:rsid w:val="29D7224E"/>
    <w:rsid w:val="2D0767DB"/>
    <w:rsid w:val="2EDB622F"/>
    <w:rsid w:val="3D8D61CD"/>
    <w:rsid w:val="40254D3C"/>
    <w:rsid w:val="42C55F26"/>
    <w:rsid w:val="47FD5E63"/>
    <w:rsid w:val="4CC13564"/>
    <w:rsid w:val="5205251B"/>
    <w:rsid w:val="5DC754AB"/>
    <w:rsid w:val="6B052271"/>
    <w:rsid w:val="6CA626E1"/>
    <w:rsid w:val="6EC86647"/>
    <w:rsid w:val="7C97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framePr w:wrap="around" w:vAnchor="margin" w:hAnchor="text" w:yAlign="top"/>
      <w:widowControl/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0"/>
      <w:sz w:val="18"/>
      <w:szCs w:val="18"/>
      <w:lang w:eastAsia="en-US"/>
    </w:rPr>
  </w:style>
  <w:style w:type="paragraph" w:styleId="4">
    <w:name w:val="header"/>
    <w:basedOn w:val="1"/>
    <w:link w:val="13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1 Char"/>
    <w:basedOn w:val="6"/>
    <w:link w:val="2"/>
    <w:qFormat/>
    <w:uiPriority w:val="9"/>
    <w:rPr>
      <w:b/>
      <w:bCs/>
      <w:kern w:val="44"/>
      <w:sz w:val="44"/>
      <w:szCs w:val="44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列出段落1"/>
    <w:qFormat/>
    <w:uiPriority w:val="0"/>
    <w:pPr>
      <w:framePr w:wrap="around" w:vAnchor="margin" w:hAnchor="text" w:yAlign="top"/>
      <w:spacing w:after="200" w:line="276" w:lineRule="auto"/>
      <w:ind w:left="720"/>
    </w:pPr>
    <w:rPr>
      <w:rFonts w:ascii="Calibri" w:hAnsi="Calibri" w:eastAsia="Calibri" w:cs="Calibri"/>
      <w:color w:val="000000"/>
      <w:sz w:val="22"/>
      <w:szCs w:val="22"/>
      <w:u w:color="000000"/>
      <w:lang w:val="en-US" w:eastAsia="zh-CN" w:bidi="ar-SA"/>
    </w:rPr>
  </w:style>
  <w:style w:type="character" w:customStyle="1" w:styleId="10">
    <w:name w:val="页脚 Char"/>
    <w:basedOn w:val="6"/>
    <w:link w:val="3"/>
    <w:qFormat/>
    <w:uiPriority w:val="0"/>
    <w:rPr>
      <w:rFonts w:ascii="Times New Roman" w:hAnsi="Times New Roman" w:cs="Times New Roman"/>
      <w:kern w:val="0"/>
      <w:sz w:val="18"/>
      <w:szCs w:val="18"/>
      <w:lang w:eastAsia="en-US"/>
    </w:rPr>
  </w:style>
  <w:style w:type="character" w:customStyle="1" w:styleId="11">
    <w:name w:val="无"/>
    <w:qFormat/>
    <w:uiPriority w:val="0"/>
  </w:style>
  <w:style w:type="paragraph" w:customStyle="1" w:styleId="12">
    <w:name w:val="正文 A"/>
    <w:qFormat/>
    <w:uiPriority w:val="0"/>
    <w:pPr>
      <w:framePr w:wrap="around" w:vAnchor="margin" w:hAnchor="text" w:yAlign="top"/>
      <w:spacing w:after="200" w:line="276" w:lineRule="auto"/>
    </w:pPr>
    <w:rPr>
      <w:rFonts w:ascii="Calibri" w:hAnsi="Calibri" w:eastAsia="Calibri" w:cs="Calibri"/>
      <w:color w:val="000000"/>
      <w:sz w:val="22"/>
      <w:szCs w:val="22"/>
      <w:u w:color="000000"/>
      <w:lang w:val="en-US" w:eastAsia="zh-CN" w:bidi="ar-SA"/>
    </w:rPr>
  </w:style>
  <w:style w:type="character" w:customStyle="1" w:styleId="13">
    <w:name w:val="页眉 Char"/>
    <w:basedOn w:val="6"/>
    <w:link w:val="4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1949</Words>
  <Characters>2253</Characters>
  <Lines>42</Lines>
  <Paragraphs>12</Paragraphs>
  <TotalTime>7</TotalTime>
  <ScaleCrop>false</ScaleCrop>
  <LinksUpToDate>false</LinksUpToDate>
  <CharactersWithSpaces>2677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2018-10-15T03:33:00Z</dcterms:created>
  <dc:creator>浜咲 梁</dc:creator>
  <cp:lastModifiedBy>Administrator</cp:lastModifiedBy>
  <dcterms:modified xsi:type="dcterms:W3CDTF">2025-09-01T02:54:26Z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327A66D3216C43AC8909809A2C00D547</vt:lpwstr>
  </property>
  <property fmtid="{D5CDD505-2E9C-101B-9397-08002B2CF9AE}" pid="4" name="KSOTemplateDocerSaveRecord">
    <vt:lpwstr>eyJoZGlkIjoiZjZmOTJiZDE5ODU2NzExNWUyM2QzYTIxZjNlOWU3ZDYifQ==</vt:lpwstr>
  </property>
</Properties>
</file>