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t>1) 保險與賠償（Insurance &amp; Indemnity）</w:t>
      </w:r>
    </w:p>
    <w:p w:rsidR="00AE267B" w:rsidRPr="00B475A2" w:rsidRDefault="00AE267B" w:rsidP="00AE267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產品責任險</w:t>
      </w:r>
      <w:r w:rsidRPr="00B475A2">
        <w:rPr>
          <w:rFonts w:ascii="標楷體" w:eastAsia="標楷體" w:hAnsi="標楷體" w:cs="新細明體"/>
          <w:kern w:val="0"/>
          <w:szCs w:val="24"/>
        </w:rPr>
        <w:t>：甲方須投保並把乙方列為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附加被保險人</w:t>
      </w:r>
      <w:r w:rsidRPr="00B475A2">
        <w:rPr>
          <w:rFonts w:ascii="標楷體" w:eastAsia="標楷體" w:hAnsi="標楷體" w:cs="新細明體"/>
          <w:kern w:val="0"/>
          <w:szCs w:val="24"/>
        </w:rPr>
        <w:t>與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代位求償權拋棄（Waiver of Subrogation）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金額建議：每一事故 NT$30–100M、年聚 NT$60–200M（或 USD 1–5M / 2–10M）。</w:t>
      </w:r>
    </w:p>
    <w:p w:rsidR="00AE267B" w:rsidRPr="00B475A2" w:rsidRDefault="00AE267B" w:rsidP="00AE267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產品召回險</w:t>
      </w:r>
      <w:r w:rsidRPr="00B475A2">
        <w:rPr>
          <w:rFonts w:ascii="標楷體" w:eastAsia="標楷體" w:hAnsi="標楷體" w:cs="新細明體"/>
          <w:kern w:val="0"/>
          <w:szCs w:val="24"/>
        </w:rPr>
        <w:t>：含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危機處理費</w:t>
      </w:r>
      <w:r w:rsidRPr="00B475A2">
        <w:rPr>
          <w:rFonts w:ascii="標楷體" w:eastAsia="標楷體" w:hAnsi="標楷體" w:cs="新細明體"/>
          <w:kern w:val="0"/>
          <w:szCs w:val="24"/>
        </w:rPr>
        <w:t>、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更換／回收費</w:t>
      </w:r>
      <w:r w:rsidRPr="00B475A2">
        <w:rPr>
          <w:rFonts w:ascii="標楷體" w:eastAsia="標楷體" w:hAnsi="標楷體" w:cs="新細明體"/>
          <w:kern w:val="0"/>
          <w:szCs w:val="24"/>
        </w:rPr>
        <w:t>、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公關費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</w:p>
    <w:p w:rsidR="00AE267B" w:rsidRPr="00B475A2" w:rsidRDefault="00AE267B" w:rsidP="00AE267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運輸險（海運）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：依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ICC(A)+War&amp;SRCC</w:t>
      </w:r>
      <w:r w:rsidRPr="00B475A2">
        <w:rPr>
          <w:rFonts w:ascii="標楷體" w:eastAsia="標楷體" w:hAnsi="標楷體" w:cs="新細明體"/>
          <w:kern w:val="0"/>
          <w:szCs w:val="24"/>
        </w:rPr>
        <w:t>，由風險承擔方投保；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保險受益人</w:t>
      </w:r>
      <w:r w:rsidRPr="00B475A2">
        <w:rPr>
          <w:rFonts w:ascii="標楷體" w:eastAsia="標楷體" w:hAnsi="標楷體" w:cs="新細明體"/>
          <w:kern w:val="0"/>
          <w:szCs w:val="24"/>
        </w:rPr>
        <w:t>寫乙方或其指定銀行。</w:t>
      </w:r>
    </w:p>
    <w:p w:rsidR="00AE267B" w:rsidRPr="00B475A2" w:rsidRDefault="00AE267B" w:rsidP="00AE267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設計/技術責任</w:t>
      </w:r>
      <w:r w:rsidRPr="00B475A2">
        <w:rPr>
          <w:rFonts w:ascii="標楷體" w:eastAsia="標楷體" w:hAnsi="標楷體" w:cs="新細明體"/>
          <w:kern w:val="0"/>
          <w:szCs w:val="24"/>
        </w:rPr>
        <w:t>：若含設計或軟體，要求甲方投保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專業責任險</w:t>
      </w:r>
      <w:r w:rsidRPr="00B475A2">
        <w:rPr>
          <w:rFonts w:ascii="標楷體" w:eastAsia="標楷體" w:hAnsi="標楷體" w:cs="新細明體"/>
          <w:kern w:val="0"/>
          <w:szCs w:val="24"/>
        </w:rPr>
        <w:t>／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網路資安責任險</w:t>
      </w:r>
      <w:r w:rsidRPr="00B475A2">
        <w:rPr>
          <w:rFonts w:ascii="標楷體" w:eastAsia="標楷體" w:hAnsi="標楷體" w:cs="新細明體"/>
          <w:kern w:val="0"/>
          <w:szCs w:val="24"/>
        </w:rPr>
        <w:t>（IoT 產品）。</w:t>
      </w:r>
    </w:p>
    <w:p w:rsidR="00AE267B" w:rsidRPr="00B475A2" w:rsidRDefault="00AE267B" w:rsidP="00AE267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IP 侵權保障</w:t>
      </w:r>
      <w:r w:rsidRPr="00B475A2">
        <w:rPr>
          <w:rFonts w:ascii="標楷體" w:eastAsia="標楷體" w:hAnsi="標楷體" w:cs="新細明體"/>
          <w:kern w:val="0"/>
          <w:szCs w:val="24"/>
        </w:rPr>
        <w:t>：甲方對第三人之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專利／商標／著作權侵權</w:t>
      </w:r>
      <w:r w:rsidRPr="00B475A2">
        <w:rPr>
          <w:rFonts w:ascii="標楷體" w:eastAsia="標楷體" w:hAnsi="標楷體" w:cs="新細明體"/>
          <w:kern w:val="0"/>
          <w:szCs w:val="24"/>
        </w:rPr>
        <w:t>提供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完全補償</w:t>
      </w:r>
      <w:r w:rsidRPr="00B475A2">
        <w:rPr>
          <w:rFonts w:ascii="標楷體" w:eastAsia="標楷體" w:hAnsi="標楷體" w:cs="新細明體"/>
          <w:kern w:val="0"/>
          <w:szCs w:val="24"/>
        </w:rPr>
        <w:t>（含律師費、判決金）。</w:t>
      </w:r>
    </w:p>
    <w:p w:rsidR="00AE267B" w:rsidRPr="00B475A2" w:rsidRDefault="00AE267B" w:rsidP="00AE267B">
      <w:pPr>
        <w:widowControl/>
        <w:spacing w:beforeAutospacing="1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kern w:val="0"/>
          <w:szCs w:val="24"/>
        </w:rPr>
        <w:t>條文句型：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「甲方應投保產品責任險，並將乙方列為附加被保險人且同意代位求償權拋棄；保額每事故不低於 NT$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，年度總額不低於 NT$</w:t>
      </w:r>
      <w:r w:rsidRPr="00B475A2">
        <w:rPr>
          <w:rFonts w:ascii="標楷體" w:eastAsia="標楷體" w:hAnsi="標楷體" w:cs="新細明體"/>
          <w:kern w:val="0"/>
          <w:szCs w:val="24"/>
        </w:rPr>
        <w:t>，並於每年提供 COI。」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t>2) 品質風險管控（QC &amp; Compliance）</w:t>
      </w:r>
    </w:p>
    <w:p w:rsidR="00AE267B" w:rsidRPr="00B475A2" w:rsidRDefault="00AE267B" w:rsidP="00AE267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驗貨權利</w:t>
      </w:r>
      <w:r w:rsidRPr="00B475A2">
        <w:rPr>
          <w:rFonts w:ascii="標楷體" w:eastAsia="標楷體" w:hAnsi="標楷體" w:cs="新細明體"/>
          <w:kern w:val="0"/>
          <w:szCs w:val="24"/>
        </w:rPr>
        <w:t>：DUPRO／PSI 由第三方（SGS/TÜV/BV）執行，費用分攤；不合格可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拒收或重工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 xml:space="preserve">建議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AQL：Critical 0 / Major 1.0–1.5 / Minor 2.5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</w:p>
    <w:p w:rsidR="00AE267B" w:rsidRPr="00B475A2" w:rsidRDefault="00AE267B" w:rsidP="00AE267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黃金樣（Golden Sample）與規格凍結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：雙方封存樣本與檢查表，變更需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ECN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 流程。</w:t>
      </w:r>
    </w:p>
    <w:p w:rsidR="00AE267B" w:rsidRPr="00B475A2" w:rsidRDefault="00AE267B" w:rsidP="00AE267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追溯性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：序號／批號制度，保留批次資料 </w:t>
      </w:r>
      <w:r w:rsidRPr="00B475A2">
        <w:rPr>
          <w:rFonts w:ascii="Times New Roman" w:eastAsia="標楷體" w:hAnsi="Times New Roman" w:cs="Times New Roman"/>
          <w:kern w:val="0"/>
          <w:szCs w:val="24"/>
        </w:rPr>
        <w:t>≥</w:t>
      </w:r>
      <w:r w:rsidRPr="00B475A2">
        <w:rPr>
          <w:rFonts w:ascii="標楷體" w:eastAsia="標楷體" w:hAnsi="標楷體" w:cs="新細明體" w:hint="eastAsia"/>
          <w:kern w:val="0"/>
          <w:szCs w:val="24"/>
        </w:rPr>
        <w:t xml:space="preserve"> 24 </w:t>
      </w:r>
      <w:r w:rsidRPr="00B475A2">
        <w:rPr>
          <w:rFonts w:ascii="標楷體" w:eastAsia="標楷體" w:hAnsi="標楷體" w:cs="新細明體"/>
          <w:kern w:val="0"/>
          <w:szCs w:val="24"/>
        </w:rPr>
        <w:t>個月。</w:t>
      </w:r>
    </w:p>
    <w:p w:rsidR="00AE267B" w:rsidRPr="00B475A2" w:rsidRDefault="00AE267B" w:rsidP="00AE267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合規證照</w:t>
      </w:r>
      <w:r w:rsidRPr="00B475A2">
        <w:rPr>
          <w:rFonts w:ascii="標楷體" w:eastAsia="標楷體" w:hAnsi="標楷體" w:cs="新細明體"/>
          <w:kern w:val="0"/>
          <w:szCs w:val="24"/>
        </w:rPr>
        <w:t>：BSMI／NCC／TFDA／RoHS/REACH 等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誰負責、誰出費、證照歸屬</w:t>
      </w:r>
      <w:r w:rsidRPr="00B475A2">
        <w:rPr>
          <w:rFonts w:ascii="標楷體" w:eastAsia="標楷體" w:hAnsi="標楷體" w:cs="新細明體"/>
          <w:kern w:val="0"/>
          <w:szCs w:val="24"/>
        </w:rPr>
        <w:t>（建議歸乙方或授權乙方永久使用）。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首批不過件＝甲方負責整改與費用。</w:t>
      </w:r>
    </w:p>
    <w:p w:rsidR="00AE267B" w:rsidRPr="00B475A2" w:rsidRDefault="00AE267B" w:rsidP="00AE267B">
      <w:pPr>
        <w:widowControl/>
        <w:spacing w:beforeAutospacing="1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kern w:val="0"/>
          <w:szCs w:val="24"/>
        </w:rPr>
        <w:t>條文句型：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「乙方得指定第三方進行在製與出貨前驗貨；如未達 AQL 標準，乙方得拒收、要求重工或折讓。」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t>3) 售後與召回（After-sales &amp; Recall）</w:t>
      </w:r>
    </w:p>
    <w:p w:rsidR="00AE267B" w:rsidRPr="00B475A2" w:rsidRDefault="00AE267B" w:rsidP="00AE267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SLA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：48 小時內回覆、10 日內提供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8D/RCA</w:t>
      </w:r>
      <w:r w:rsidRPr="00B475A2">
        <w:rPr>
          <w:rFonts w:ascii="標楷體" w:eastAsia="標楷體" w:hAnsi="標楷體" w:cs="新細明體"/>
          <w:kern w:val="0"/>
          <w:szCs w:val="24"/>
        </w:rPr>
        <w:t>、30 日內完成糾正。</w:t>
      </w:r>
    </w:p>
    <w:p w:rsidR="00AE267B" w:rsidRPr="00B475A2" w:rsidRDefault="00AE267B" w:rsidP="00AE267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保固成本分攤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：若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RMA 率超標</w:t>
      </w:r>
      <w:r w:rsidRPr="00B475A2">
        <w:rPr>
          <w:rFonts w:ascii="標楷體" w:eastAsia="標楷體" w:hAnsi="標楷體" w:cs="新細明體"/>
          <w:kern w:val="0"/>
          <w:szCs w:val="24"/>
        </w:rPr>
        <w:t>（例如 1%），保固費按比例由甲方分擔。</w:t>
      </w:r>
    </w:p>
    <w:p w:rsidR="00AE267B" w:rsidRPr="00B475A2" w:rsidRDefault="00AE267B" w:rsidP="00AE267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召回計畫</w:t>
      </w:r>
      <w:r w:rsidRPr="00B475A2">
        <w:rPr>
          <w:rFonts w:ascii="標楷體" w:eastAsia="標楷體" w:hAnsi="標楷體" w:cs="新細明體"/>
          <w:kern w:val="0"/>
          <w:szCs w:val="24"/>
        </w:rPr>
        <w:t>：簽約 30 日內提交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召回手冊</w:t>
      </w:r>
      <w:r w:rsidRPr="00B475A2">
        <w:rPr>
          <w:rFonts w:ascii="標楷體" w:eastAsia="標楷體" w:hAnsi="標楷體" w:cs="新細明體"/>
          <w:kern w:val="0"/>
          <w:szCs w:val="24"/>
        </w:rPr>
        <w:t>並每年演練一次；召回費用與損害依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可歸責比例</w:t>
      </w:r>
      <w:r w:rsidRPr="00B475A2">
        <w:rPr>
          <w:rFonts w:ascii="標楷體" w:eastAsia="標楷體" w:hAnsi="標楷體" w:cs="新細明體"/>
          <w:kern w:val="0"/>
          <w:szCs w:val="24"/>
        </w:rPr>
        <w:t>分攤（設計/製程＝甲方、市場誤用＝乙方）。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t>4) 價格與匯率風險（Pricing &amp; FX）</w:t>
      </w:r>
    </w:p>
    <w:p w:rsidR="00AE267B" w:rsidRPr="00B475A2" w:rsidRDefault="00AE267B" w:rsidP="00AE267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MFN 最優惠價格</w:t>
      </w:r>
      <w:r w:rsidRPr="00B475A2">
        <w:rPr>
          <w:rFonts w:ascii="標楷體" w:eastAsia="標楷體" w:hAnsi="標楷體" w:cs="新細明體"/>
          <w:kern w:val="0"/>
          <w:szCs w:val="24"/>
        </w:rPr>
        <w:t>＋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價格穩定期</w:t>
      </w:r>
      <w:r w:rsidRPr="00B475A2">
        <w:rPr>
          <w:rFonts w:ascii="標楷體" w:eastAsia="標楷體" w:hAnsi="標楷體" w:cs="新細明體"/>
          <w:kern w:val="0"/>
          <w:szCs w:val="24"/>
        </w:rPr>
        <w:t>（12 個月）。</w:t>
      </w:r>
    </w:p>
    <w:p w:rsidR="00AE267B" w:rsidRPr="00B475A2" w:rsidRDefault="00AE267B" w:rsidP="00AE267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原材指數式調整</w:t>
      </w:r>
      <w:r w:rsidRPr="00B475A2">
        <w:rPr>
          <w:rFonts w:ascii="標楷體" w:eastAsia="標楷體" w:hAnsi="標楷體" w:cs="新細明體"/>
          <w:kern w:val="0"/>
          <w:szCs w:val="24"/>
        </w:rPr>
        <w:t>：僅當銅／鋁／樹脂等指數變動超過 ±__% 才可調整。</w:t>
      </w:r>
    </w:p>
    <w:p w:rsidR="00AE267B" w:rsidRPr="00B475A2" w:rsidRDefault="00AE267B" w:rsidP="00AE267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匯率護欄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：報價幣別固定（USD/RMB），設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±3% 帶寬</w:t>
      </w:r>
      <w:r w:rsidRPr="00B475A2">
        <w:rPr>
          <w:rFonts w:ascii="標楷體" w:eastAsia="標楷體" w:hAnsi="標楷體" w:cs="新細明體"/>
          <w:kern w:val="0"/>
          <w:szCs w:val="24"/>
        </w:rPr>
        <w:t>；超出帶寬才觸發調整。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t>5) 交付與供應（Supply Assurance）</w:t>
      </w:r>
    </w:p>
    <w:p w:rsidR="00AE267B" w:rsidRPr="00B475A2" w:rsidRDefault="00AE267B" w:rsidP="00AE267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安全庫存 &amp; 交期保證</w:t>
      </w:r>
      <w:r w:rsidRPr="00B475A2">
        <w:rPr>
          <w:rFonts w:ascii="標楷體" w:eastAsia="標楷體" w:hAnsi="標楷體" w:cs="新細明體"/>
          <w:kern w:val="0"/>
          <w:szCs w:val="24"/>
        </w:rPr>
        <w:t>：建立台灣或香港前置庫；交期延誤設定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違約金或空運補救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</w:p>
    <w:p w:rsidR="00AE267B" w:rsidRPr="00B475A2" w:rsidRDefault="00AE267B" w:rsidP="00AE267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關鍵料雙供應</w:t>
      </w:r>
      <w:r w:rsidRPr="00B475A2">
        <w:rPr>
          <w:rFonts w:ascii="標楷體" w:eastAsia="標楷體" w:hAnsi="標楷體" w:cs="新細明體"/>
          <w:kern w:val="0"/>
          <w:szCs w:val="24"/>
        </w:rPr>
        <w:t>：甲方需提交關鍵料替代清單。</w:t>
      </w:r>
    </w:p>
    <w:p w:rsidR="00AE267B" w:rsidRPr="00B475A2" w:rsidRDefault="00AE267B" w:rsidP="00AE267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不可抗力條款</w:t>
      </w:r>
      <w:r w:rsidRPr="00B475A2">
        <w:rPr>
          <w:rFonts w:ascii="標楷體" w:eastAsia="標楷體" w:hAnsi="標楷體" w:cs="新細明體"/>
          <w:kern w:val="0"/>
          <w:szCs w:val="24"/>
        </w:rPr>
        <w:t>：要求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持續履約義務</w:t>
      </w:r>
      <w:r w:rsidRPr="00B475A2">
        <w:rPr>
          <w:rFonts w:ascii="標楷體" w:eastAsia="標楷體" w:hAnsi="標楷體" w:cs="新細明體"/>
          <w:kern w:val="0"/>
          <w:szCs w:val="24"/>
        </w:rPr>
        <w:t>、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緩解計畫</w:t>
      </w:r>
      <w:r w:rsidRPr="00B475A2">
        <w:rPr>
          <w:rFonts w:ascii="標楷體" w:eastAsia="標楷體" w:hAnsi="標楷體" w:cs="新細明體"/>
          <w:kern w:val="0"/>
          <w:szCs w:val="24"/>
        </w:rPr>
        <w:t>、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優先配貨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lastRenderedPageBreak/>
        <w:t>6) 工裝與資產（Tooling &amp; IP）</w:t>
      </w:r>
    </w:p>
    <w:p w:rsidR="00AE267B" w:rsidRPr="00B475A2" w:rsidRDefault="00AE267B" w:rsidP="00AE267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模具/治具所有權</w:t>
      </w:r>
      <w:r w:rsidRPr="00B475A2">
        <w:rPr>
          <w:rFonts w:ascii="標楷體" w:eastAsia="標楷體" w:hAnsi="標楷體" w:cs="新細明體"/>
          <w:kern w:val="0"/>
          <w:szCs w:val="24"/>
        </w:rPr>
        <w:t>：由乙方出資者，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乙方所有</w:t>
      </w:r>
      <w:r w:rsidRPr="00B475A2">
        <w:rPr>
          <w:rFonts w:ascii="標楷體" w:eastAsia="標楷體" w:hAnsi="標楷體" w:cs="新細明體"/>
          <w:kern w:val="0"/>
          <w:szCs w:val="24"/>
        </w:rPr>
        <w:t>，標識與資產清冊；</w:t>
      </w:r>
      <w:r w:rsidRPr="00B475A2">
        <w:rPr>
          <w:rFonts w:ascii="標楷體" w:eastAsia="標楷體" w:hAnsi="標楷體" w:cs="新細明體"/>
          <w:kern w:val="0"/>
          <w:szCs w:val="24"/>
        </w:rPr>
        <w:br/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專用化限制</w:t>
      </w:r>
      <w:r w:rsidRPr="00B475A2">
        <w:rPr>
          <w:rFonts w:ascii="標楷體" w:eastAsia="標楷體" w:hAnsi="標楷體" w:cs="新細明體"/>
          <w:kern w:val="0"/>
          <w:szCs w:val="24"/>
        </w:rPr>
        <w:t>：非經書面同意不得為第三方生產。</w:t>
      </w:r>
    </w:p>
    <w:p w:rsidR="00AE267B" w:rsidRPr="00B475A2" w:rsidRDefault="00AE267B" w:rsidP="00AE267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工裝保險與維護</w:t>
      </w:r>
      <w:r w:rsidRPr="00B475A2">
        <w:rPr>
          <w:rFonts w:ascii="標楷體" w:eastAsia="標楷體" w:hAnsi="標楷體" w:cs="新細明體"/>
          <w:kern w:val="0"/>
          <w:szCs w:val="24"/>
        </w:rPr>
        <w:t>：甲方負責保養與投保；報廢／遺失＝賠償重製。</w:t>
      </w:r>
    </w:p>
    <w:p w:rsidR="00AE267B" w:rsidRPr="00B475A2" w:rsidRDefault="00AE267B" w:rsidP="00AE267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源碼/韌體託管</w:t>
      </w:r>
      <w:r w:rsidRPr="00B475A2">
        <w:rPr>
          <w:rFonts w:ascii="標楷體" w:eastAsia="標楷體" w:hAnsi="標楷體" w:cs="新細明體"/>
          <w:kern w:val="0"/>
          <w:szCs w:val="24"/>
        </w:rPr>
        <w:t>（如 IoT）：以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第三方託管</w:t>
      </w:r>
      <w:r w:rsidRPr="00B475A2">
        <w:rPr>
          <w:rFonts w:ascii="標楷體" w:eastAsia="標楷體" w:hAnsi="標楷體" w:cs="新細明體"/>
          <w:kern w:val="0"/>
          <w:szCs w:val="24"/>
        </w:rPr>
        <w:t>確保可維護性。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t>7) 財務保障（Payments &amp; Credit）</w:t>
      </w:r>
    </w:p>
    <w:p w:rsidR="00AE267B" w:rsidRPr="00B475A2" w:rsidRDefault="00AE267B" w:rsidP="00AE267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付款機制</w:t>
      </w:r>
      <w:r w:rsidRPr="00B475A2">
        <w:rPr>
          <w:rFonts w:ascii="標楷體" w:eastAsia="標楷體" w:hAnsi="標楷體" w:cs="新細明體"/>
          <w:kern w:val="0"/>
          <w:szCs w:val="24"/>
        </w:rPr>
        <w:t>：分段付款與驗收掛鉤（下單訂金 → 驗貨通過 → 提單/到港）。</w:t>
      </w:r>
    </w:p>
    <w:p w:rsidR="00AE267B" w:rsidRPr="00B475A2" w:rsidRDefault="00AE267B" w:rsidP="00AE267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信用保障</w:t>
      </w:r>
      <w:r w:rsidRPr="00B475A2">
        <w:rPr>
          <w:rFonts w:ascii="標楷體" w:eastAsia="標楷體" w:hAnsi="標楷體" w:cs="新細明體"/>
          <w:kern w:val="0"/>
          <w:szCs w:val="24"/>
        </w:rPr>
        <w:t>（二擇一或並用）：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信用保險</w:t>
      </w:r>
      <w:r w:rsidRPr="00B475A2">
        <w:rPr>
          <w:rFonts w:ascii="標楷體" w:eastAsia="標楷體" w:hAnsi="標楷體" w:cs="新細明體"/>
          <w:kern w:val="0"/>
          <w:szCs w:val="24"/>
        </w:rPr>
        <w:t>、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保函（Performance Bond）</w:t>
      </w:r>
      <w:r w:rsidRPr="00B475A2">
        <w:rPr>
          <w:rFonts w:ascii="標楷體" w:eastAsia="標楷體" w:hAnsi="標楷體" w:cs="新細明體"/>
          <w:kern w:val="0"/>
          <w:szCs w:val="24"/>
        </w:rPr>
        <w:t>、或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備抵保留款</w:t>
      </w:r>
      <w:r w:rsidRPr="00B475A2">
        <w:rPr>
          <w:rFonts w:ascii="標楷體" w:eastAsia="標楷體" w:hAnsi="標楷體" w:cs="新細明體"/>
          <w:kern w:val="0"/>
          <w:szCs w:val="24"/>
        </w:rPr>
        <w:t>（Retention 5–10%）。</w:t>
      </w:r>
    </w:p>
    <w:p w:rsidR="00AE267B" w:rsidRPr="00B475A2" w:rsidRDefault="00AE267B" w:rsidP="00AE267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逾期與補救</w:t>
      </w:r>
      <w:r w:rsidRPr="00B475A2">
        <w:rPr>
          <w:rFonts w:ascii="標楷體" w:eastAsia="標楷體" w:hAnsi="標楷體" w:cs="新細明體"/>
          <w:kern w:val="0"/>
          <w:szCs w:val="24"/>
        </w:rPr>
        <w:t>：逾期交付／品質不符</w:t>
      </w:r>
      <w:r w:rsidRPr="00B475A2">
        <w:rPr>
          <w:rFonts w:ascii="Cambria Math" w:eastAsia="標楷體" w:hAnsi="Cambria Math" w:cs="Cambria Math"/>
          <w:kern w:val="0"/>
          <w:szCs w:val="24"/>
        </w:rPr>
        <w:t>⇒</w:t>
      </w:r>
      <w:r w:rsidRPr="00B475A2">
        <w:rPr>
          <w:rFonts w:ascii="標楷體" w:eastAsia="標楷體" w:hAnsi="標楷體" w:cs="新細明體"/>
          <w:kern w:val="0"/>
          <w:szCs w:val="24"/>
        </w:rPr>
        <w:t>乙方得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抵銷</w:t>
      </w:r>
      <w:r w:rsidRPr="00B475A2">
        <w:rPr>
          <w:rFonts w:ascii="標楷體" w:eastAsia="標楷體" w:hAnsi="標楷體" w:cs="新細明體"/>
          <w:kern w:val="0"/>
          <w:szCs w:val="24"/>
        </w:rPr>
        <w:t>與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延後付款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36"/>
          <w:szCs w:val="24"/>
        </w:rPr>
        <w:t>8) 終止與退出（Exit Readiness）</w:t>
      </w:r>
    </w:p>
    <w:p w:rsidR="00AE267B" w:rsidRPr="00B475A2" w:rsidRDefault="00AE267B" w:rsidP="00AE267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EOL/停產預告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：至少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6–12 個月</w:t>
      </w:r>
      <w:r w:rsidRPr="00B475A2">
        <w:rPr>
          <w:rFonts w:ascii="標楷體" w:eastAsia="標楷體" w:hAnsi="標楷體" w:cs="新細明體"/>
          <w:kern w:val="0"/>
          <w:szCs w:val="24"/>
        </w:rPr>
        <w:t>通知。</w:t>
      </w:r>
    </w:p>
    <w:p w:rsidR="00AE267B" w:rsidRPr="00B475A2" w:rsidRDefault="00AE267B" w:rsidP="00AE267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期末庫存處置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：到期或終止時，甲方以出廠價回購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可銷售庫存</w:t>
      </w:r>
      <w:r w:rsidRPr="00B475A2">
        <w:rPr>
          <w:rFonts w:ascii="標楷體" w:eastAsia="標楷體" w:hAnsi="標楷體" w:cs="新細明體"/>
          <w:kern w:val="0"/>
          <w:szCs w:val="24"/>
        </w:rPr>
        <w:t>；或提供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價格保護</w:t>
      </w:r>
      <w:r w:rsidRPr="00B475A2">
        <w:rPr>
          <w:rFonts w:ascii="標楷體" w:eastAsia="標楷體" w:hAnsi="標楷體" w:cs="新細明體"/>
          <w:kern w:val="0"/>
          <w:szCs w:val="24"/>
        </w:rPr>
        <w:t>共同清庫。</w:t>
      </w:r>
    </w:p>
    <w:p w:rsidR="00AE267B" w:rsidRPr="00B475A2" w:rsidRDefault="00AE267B" w:rsidP="00AE267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客戶續服</w:t>
      </w:r>
      <w:r w:rsidRPr="00B475A2">
        <w:rPr>
          <w:rFonts w:ascii="標楷體" w:eastAsia="標楷體" w:hAnsi="標楷體" w:cs="新細明體"/>
          <w:kern w:val="0"/>
          <w:szCs w:val="24"/>
        </w:rPr>
        <w:t xml:space="preserve">：終止後保固零件供應 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24 個月</w:t>
      </w:r>
      <w:r w:rsidRPr="00B475A2">
        <w:rPr>
          <w:rFonts w:ascii="標楷體" w:eastAsia="標楷體" w:hAnsi="標楷體" w:cs="新細明體"/>
          <w:kern w:val="0"/>
          <w:szCs w:val="24"/>
        </w:rPr>
        <w:t>。</w:t>
      </w:r>
    </w:p>
    <w:p w:rsidR="00AE267B" w:rsidRPr="00B475A2" w:rsidRDefault="00AE267B" w:rsidP="00AE267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灰色市場防範</w:t>
      </w:r>
      <w:r w:rsidRPr="00B475A2">
        <w:rPr>
          <w:rFonts w:ascii="標楷體" w:eastAsia="標楷體" w:hAnsi="標楷體" w:cs="新細明體"/>
          <w:kern w:val="0"/>
          <w:szCs w:val="24"/>
        </w:rPr>
        <w:t>：發現跨區銷售，甲方須</w:t>
      </w: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斷貨並賠償</w:t>
      </w:r>
      <w:r w:rsidRPr="00B475A2">
        <w:rPr>
          <w:rFonts w:ascii="標楷體" w:eastAsia="標楷體" w:hAnsi="標楷體" w:cs="新細明體"/>
          <w:kern w:val="0"/>
          <w:szCs w:val="24"/>
        </w:rPr>
        <w:t>乙方損失。</w:t>
      </w:r>
    </w:p>
    <w:p w:rsidR="00AE267B" w:rsidRPr="00B475A2" w:rsidRDefault="00AE267B" w:rsidP="00AE267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可直接貼進合約的「保險／風險」範本條</w:t>
      </w:r>
    </w:p>
    <w:p w:rsidR="00AE267B" w:rsidRPr="00B475A2" w:rsidRDefault="00AE267B" w:rsidP="00AE267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附加被保險人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「甲方應維持有效之產品責任險並將乙方列為附加被保險人，並對乙方提供代位求償權拋棄之背書。」</w:t>
      </w:r>
    </w:p>
    <w:p w:rsidR="00AE267B" w:rsidRPr="00B475A2" w:rsidRDefault="00AE267B" w:rsidP="00AE267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召回責任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「因產品設計／製程瑕疵引致之召回，相關合理費用由甲方負擔；雙方應依可歸責比例分攤其他費用。」</w:t>
      </w:r>
    </w:p>
    <w:p w:rsidR="00AE267B" w:rsidRPr="00B475A2" w:rsidRDefault="00AE267B" w:rsidP="00AE267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驗貨與拒收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「乙方得委託第三方進行查驗，不合格者乙方得拒收、要求重工或折讓，相關費用由可歸責方負擔。」</w:t>
      </w:r>
    </w:p>
    <w:p w:rsidR="00AE267B" w:rsidRPr="00B475A2" w:rsidRDefault="00AE267B" w:rsidP="00AE267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IP 侵權補償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「第三人主張侵權時，甲方應自行或委任律師處理並對乙方予以完全補償。」</w:t>
      </w:r>
    </w:p>
    <w:p w:rsidR="00AE267B" w:rsidRPr="00B475A2" w:rsidRDefault="00AE267B" w:rsidP="00AE267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475A2">
        <w:rPr>
          <w:rFonts w:ascii="標楷體" w:eastAsia="標楷體" w:hAnsi="標楷體" w:cs="新細明體"/>
          <w:b/>
          <w:bCs/>
          <w:kern w:val="0"/>
          <w:szCs w:val="24"/>
        </w:rPr>
        <w:t>終止與庫存</w:t>
      </w:r>
      <w:r w:rsidRPr="00B475A2">
        <w:rPr>
          <w:rFonts w:ascii="標楷體" w:eastAsia="標楷體" w:hAnsi="標楷體" w:cs="新細明體"/>
          <w:kern w:val="0"/>
          <w:szCs w:val="24"/>
        </w:rPr>
        <w:br/>
        <w:t>「合約終止或不續約時，甲方應於三十日內按出廠價回購乙方可銷售之良品庫存，或提供不低於 __% 之價格保護以協助清庫。」</w:t>
      </w:r>
    </w:p>
    <w:p w:rsidR="00AE267B" w:rsidRPr="00E52C74" w:rsidRDefault="00AE267B" w:rsidP="00AE267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color w:val="FF0000"/>
          <w:kern w:val="0"/>
          <w:szCs w:val="24"/>
        </w:rPr>
      </w:pPr>
      <w:r w:rsidRPr="00E52C74">
        <w:rPr>
          <w:rFonts w:ascii="標楷體" w:eastAsia="標楷體" w:hAnsi="標楷體" w:cs="新細明體"/>
          <w:b/>
          <w:bCs/>
          <w:color w:val="FF0000"/>
          <w:kern w:val="0"/>
          <w:szCs w:val="24"/>
        </w:rPr>
        <w:t>實戰組合拳（先後順序建議）</w:t>
      </w:r>
    </w:p>
    <w:p w:rsidR="00AE267B" w:rsidRPr="00E52C74" w:rsidRDefault="00AE267B" w:rsidP="00AE267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color w:val="FF0000"/>
          <w:kern w:val="0"/>
          <w:szCs w:val="24"/>
        </w:rPr>
      </w:pPr>
      <w:r w:rsidRPr="00E52C74">
        <w:rPr>
          <w:rFonts w:ascii="標楷體" w:eastAsia="標楷體" w:hAnsi="標楷體" w:cs="新細明體"/>
          <w:b/>
          <w:bCs/>
          <w:color w:val="FF0000"/>
          <w:kern w:val="0"/>
          <w:szCs w:val="24"/>
        </w:rPr>
        <w:t>保險三件套</w:t>
      </w:r>
      <w:r w:rsidRPr="00E52C74">
        <w:rPr>
          <w:rFonts w:ascii="標楷體" w:eastAsia="標楷體" w:hAnsi="標楷體" w:cs="新細明體"/>
          <w:color w:val="FF0000"/>
          <w:kern w:val="0"/>
          <w:szCs w:val="24"/>
        </w:rPr>
        <w:t>：產品責任險＋召回險＋運輸險（附加被保險人）。</w:t>
      </w:r>
    </w:p>
    <w:p w:rsidR="00AE267B" w:rsidRPr="00E52C74" w:rsidRDefault="00AE267B" w:rsidP="00AE267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color w:val="FF0000"/>
          <w:kern w:val="0"/>
          <w:szCs w:val="24"/>
        </w:rPr>
      </w:pPr>
      <w:r w:rsidRPr="00E52C74">
        <w:rPr>
          <w:rFonts w:ascii="標楷體" w:eastAsia="標楷體" w:hAnsi="標楷體" w:cs="新細明體"/>
          <w:b/>
          <w:bCs/>
          <w:color w:val="FF0000"/>
          <w:kern w:val="0"/>
          <w:szCs w:val="24"/>
        </w:rPr>
        <w:t>QC 三鍵</w:t>
      </w:r>
      <w:r w:rsidRPr="00E52C74">
        <w:rPr>
          <w:rFonts w:ascii="標楷體" w:eastAsia="標楷體" w:hAnsi="標楷體" w:cs="新細明體"/>
          <w:color w:val="FF0000"/>
          <w:kern w:val="0"/>
          <w:szCs w:val="24"/>
        </w:rPr>
        <w:t>：第三方驗貨＋AQL＋RCA/SLA。</w:t>
      </w:r>
    </w:p>
    <w:p w:rsidR="00AE267B" w:rsidRPr="00E52C74" w:rsidRDefault="00AE267B" w:rsidP="00AE267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color w:val="FF0000"/>
          <w:kern w:val="0"/>
          <w:szCs w:val="24"/>
        </w:rPr>
      </w:pPr>
      <w:r w:rsidRPr="00E52C74">
        <w:rPr>
          <w:rFonts w:ascii="標楷體" w:eastAsia="標楷體" w:hAnsi="標楷體" w:cs="新細明體"/>
          <w:b/>
          <w:bCs/>
          <w:color w:val="FF0000"/>
          <w:kern w:val="0"/>
          <w:szCs w:val="24"/>
        </w:rPr>
        <w:t>退出三保</w:t>
      </w:r>
      <w:r w:rsidRPr="00E52C74">
        <w:rPr>
          <w:rFonts w:ascii="標楷體" w:eastAsia="標楷體" w:hAnsi="標楷體" w:cs="新細明體"/>
          <w:color w:val="FF0000"/>
          <w:kern w:val="0"/>
          <w:szCs w:val="24"/>
        </w:rPr>
        <w:t>：EOL 預告＋庫存回購／保價＋售後零件保障。</w:t>
      </w:r>
    </w:p>
    <w:sectPr w:rsidR="00AE267B" w:rsidRPr="00E52C74" w:rsidSect="00B475A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46E0" w:rsidRDefault="00A146E0" w:rsidP="00AE267B">
      <w:r>
        <w:separator/>
      </w:r>
    </w:p>
  </w:endnote>
  <w:endnote w:type="continuationSeparator" w:id="0">
    <w:p w:rsidR="00A146E0" w:rsidRDefault="00A146E0" w:rsidP="00AE26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46E0" w:rsidRDefault="00A146E0" w:rsidP="00AE267B">
      <w:r>
        <w:separator/>
      </w:r>
    </w:p>
  </w:footnote>
  <w:footnote w:type="continuationSeparator" w:id="0">
    <w:p w:rsidR="00A146E0" w:rsidRDefault="00A146E0" w:rsidP="00AE26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835D4"/>
    <w:multiLevelType w:val="multilevel"/>
    <w:tmpl w:val="996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3261E"/>
    <w:multiLevelType w:val="multilevel"/>
    <w:tmpl w:val="F7D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31689"/>
    <w:multiLevelType w:val="multilevel"/>
    <w:tmpl w:val="64F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926662"/>
    <w:multiLevelType w:val="multilevel"/>
    <w:tmpl w:val="0DF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43015E"/>
    <w:multiLevelType w:val="multilevel"/>
    <w:tmpl w:val="28C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2A2941"/>
    <w:multiLevelType w:val="multilevel"/>
    <w:tmpl w:val="CDA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7D1B00"/>
    <w:multiLevelType w:val="multilevel"/>
    <w:tmpl w:val="BF5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AF6516"/>
    <w:multiLevelType w:val="multilevel"/>
    <w:tmpl w:val="B4E8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3D3A56"/>
    <w:multiLevelType w:val="multilevel"/>
    <w:tmpl w:val="79A8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110873"/>
    <w:multiLevelType w:val="multilevel"/>
    <w:tmpl w:val="ACC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9"/>
  </w:num>
  <w:num w:numId="8">
    <w:abstractNumId w:val="3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267B"/>
    <w:rsid w:val="00362366"/>
    <w:rsid w:val="00A146E0"/>
    <w:rsid w:val="00A81F34"/>
    <w:rsid w:val="00AE267B"/>
    <w:rsid w:val="00B475A2"/>
    <w:rsid w:val="00E52C74"/>
    <w:rsid w:val="00F72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116"/>
    <w:pPr>
      <w:widowControl w:val="0"/>
    </w:pPr>
  </w:style>
  <w:style w:type="paragraph" w:styleId="1">
    <w:name w:val="heading 1"/>
    <w:basedOn w:val="a"/>
    <w:link w:val="10"/>
    <w:uiPriority w:val="9"/>
    <w:qFormat/>
    <w:rsid w:val="00AE267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E267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E267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E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E267B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E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E267B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AE267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E267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E267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E26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AE267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82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289</Words>
  <Characters>1648</Characters>
  <Application>Microsoft Office Word</Application>
  <DocSecurity>0</DocSecurity>
  <Lines>13</Lines>
  <Paragraphs>3</Paragraphs>
  <ScaleCrop>false</ScaleCrop>
  <Company>C.M.T</Company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6</cp:revision>
  <cp:lastPrinted>2025-09-01T03:49:00Z</cp:lastPrinted>
  <dcterms:created xsi:type="dcterms:W3CDTF">2025-09-01T03:33:00Z</dcterms:created>
  <dcterms:modified xsi:type="dcterms:W3CDTF">2025-09-01T03:52:00Z</dcterms:modified>
</cp:coreProperties>
</file>