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0C2340"/>
          <w:sz w:val="44"/>
        </w:rPr>
        <w:t>L&amp;T Defence Bidding &amp; Compliance Report</w:t>
      </w:r>
    </w:p>
    <w:p>
      <w:r>
        <w:rPr>
          <w:rFonts w:ascii="Arial" w:hAnsi="Arial"/>
          <w:color w:val="708090"/>
          <w:sz w:val="22"/>
        </w:rPr>
        <w:t>Tender Reference: TND-MOD-2026-8923 | Issued by: Ministry of Defence (MoD), Acquisition Wing, New Delhi</w:t>
      </w:r>
    </w:p>
    <w:p>
      <w:pPr>
        <w:spacing w:after="200"/>
      </w:pPr>
    </w:p>
    <w:tbl>
      <w:tblPr>
        <w:tblW w:type="auto" w:w="0"/>
        <w:jc w:val="center"/>
        <w:tblLook w:firstColumn="1" w:firstRow="1" w:lastColumn="0" w:lastRow="0" w:noHBand="0" w:noVBand="1" w:val="04A0"/>
      </w:tblPr>
      <w:tblGrid>
        <w:gridCol w:w="8640"/>
      </w:tblGrid>
      <w:tr>
        <w:tc>
          <w:tcPr>
            <w:tcW w:type="dxa" w:w="8640"/>
            <w:tcMar>
              <w:top w:w="150" w:type="dxa"/>
              <w:bottom w:w="150" w:type="dxa"/>
              <w:left w:w="200" w:type="dxa"/>
              <w:right w:w="200" w:type="dxa"/>
            </w:tcMar>
            <w:shd w:fill="D4EDDA"/>
          </w:tcPr>
          <w:p>
            <w:r>
              <w:rPr>
                <w:b/>
                <w:color w:val="0C2340"/>
                <w:sz w:val="28"/>
              </w:rPr>
              <w:t>OVERALL BID DECISION: GO</w:t>
            </w:r>
          </w:p>
          <w:p>
            <w:r>
              <w:rPr>
                <w:color w:val="333333"/>
                <w:sz w:val="20"/>
              </w:rPr>
              <w:t>Rationale: L&amp;T Defence demonstrates full compliance across all critical deterministic and technical criteria for Tender TND-MOD-2026-8923. Financially, L&amp;T's annual turnover of $600M exceeds the required $500M, and its EMD capacity of $2.0M comfortably covers the $1.5M requirement. The company also holds the necessary Secret-level security clearance. Technically, L&amp;T's environmental testing facilities (temperature range -40°C to +85°C, vibration up to 10g) surpass the tender's MIL-STD-810H requirements (-30°C to +75°C, 8g vibration). L&amp;T's adherence to IPC/WHMA-A-620 and J-STD-001 military-grade soldering standards, coupled with its active AS9100 certification (valid until 2028), ensures robust quality assurance. As a domestic defense manufacturer with established supply chains, L&amp;T is well-positioned to meet the domestic steel sourcing mandate. With no identified gaps or risks, a 'GO' recommendation is provided for this tender.</w:t>
            </w:r>
          </w:p>
        </w:tc>
      </w:tr>
    </w:tbl>
    <w:p>
      <w:pPr>
        <w:spacing w:after="300"/>
      </w:pPr>
    </w:p>
    <w:p>
      <w:pPr>
        <w:pStyle w:val="Heading1"/>
      </w:pPr>
      <w:r>
        <w:rPr>
          <w:color w:val="0C2340"/>
          <w:sz w:val="28"/>
        </w:rPr>
        <w:t>1. Scope of Work</w:t>
      </w:r>
    </w:p>
    <w:p>
      <w:r>
        <w:t>The Ministry of Defence invites sealed bids from eligible domestic defense manufacturers for the supply of fifty (50) mobile launcher assemblies for tactical missile systems. The scope includes system design, fabrication, assembly, precision machining, electronics integration, extensive environmental stress testing, and on-site deployment guidance.</w:t>
      </w:r>
    </w:p>
    <w:p>
      <w:pPr>
        <w:spacing w:after="200"/>
      </w:pPr>
    </w:p>
    <w:p>
      <w:pPr>
        <w:pStyle w:val="Heading1"/>
      </w:pPr>
      <w:r>
        <w:rPr>
          <w:color w:val="0C2340"/>
          <w:sz w:val="28"/>
        </w:rPr>
        <w:t>2. Financial &amp; Eligibility Check (Deterministic)</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C2340"/>
            <w:tcMar>
              <w:top w:w="80" w:type="dxa"/>
              <w:bottom w:w="80" w:type="dxa"/>
              <w:left w:w="100" w:type="dxa"/>
              <w:right w:w="100" w:type="dxa"/>
            </w:tcMar>
          </w:tcPr>
          <w:p>
            <w:r>
              <w:rPr>
                <w:b/>
                <w:color w:val="FFFFFF"/>
                <w:sz w:val="19"/>
              </w:rPr>
              <w:t>Parameter / Check</w:t>
            </w:r>
          </w:p>
        </w:tc>
        <w:tc>
          <w:tcPr>
            <w:tcW w:type="dxa" w:w="2160"/>
            <w:shd w:fill="0C2340"/>
            <w:tcMar>
              <w:top w:w="80" w:type="dxa"/>
              <w:bottom w:w="80" w:type="dxa"/>
              <w:left w:w="100" w:type="dxa"/>
              <w:right w:w="100" w:type="dxa"/>
            </w:tcMar>
          </w:tcPr>
          <w:p>
            <w:r>
              <w:rPr>
                <w:b/>
                <w:color w:val="FFFFFF"/>
                <w:sz w:val="19"/>
              </w:rPr>
              <w:t>Required spec</w:t>
            </w:r>
          </w:p>
        </w:tc>
        <w:tc>
          <w:tcPr>
            <w:tcW w:type="dxa" w:w="2160"/>
            <w:shd w:fill="0C2340"/>
            <w:tcMar>
              <w:top w:w="80" w:type="dxa"/>
              <w:bottom w:w="80" w:type="dxa"/>
              <w:left w:w="100" w:type="dxa"/>
              <w:right w:w="100" w:type="dxa"/>
            </w:tcMar>
          </w:tcPr>
          <w:p>
            <w:r>
              <w:rPr>
                <w:b/>
                <w:color w:val="FFFFFF"/>
                <w:sz w:val="19"/>
              </w:rPr>
              <w:t>L&amp;T Value</w:t>
            </w:r>
          </w:p>
        </w:tc>
        <w:tc>
          <w:tcPr>
            <w:tcW w:type="dxa" w:w="2160"/>
            <w:shd w:fill="0C2340"/>
            <w:tcMar>
              <w:top w:w="80" w:type="dxa"/>
              <w:bottom w:w="80" w:type="dxa"/>
              <w:left w:w="100" w:type="dxa"/>
              <w:right w:w="100" w:type="dxa"/>
            </w:tcMar>
          </w:tcPr>
          <w:p>
            <w:r>
              <w:rPr>
                <w:b/>
                <w:color w:val="FFFFFF"/>
                <w:sz w:val="19"/>
              </w:rPr>
              <w:t>Status</w:t>
            </w:r>
          </w:p>
        </w:tc>
      </w:tr>
      <w:tr>
        <w:tc>
          <w:tcPr>
            <w:tcW w:type="dxa" w:w="2160"/>
            <w:tcMar>
              <w:top w:w="80" w:type="dxa"/>
              <w:bottom w:w="80" w:type="dxa"/>
              <w:left w:w="100" w:type="dxa"/>
              <w:right w:w="100" w:type="dxa"/>
            </w:tcMar>
          </w:tcPr>
          <w:p>
            <w:r>
              <w:t>Annual Turnover</w:t>
            </w:r>
          </w:p>
        </w:tc>
        <w:tc>
          <w:tcPr>
            <w:tcW w:type="dxa" w:w="2160"/>
            <w:tcMar>
              <w:top w:w="80" w:type="dxa"/>
              <w:bottom w:w="80" w:type="dxa"/>
              <w:left w:w="100" w:type="dxa"/>
              <w:right w:w="100" w:type="dxa"/>
            </w:tcMar>
          </w:tcPr>
          <w:p>
            <w:r>
              <w:t>Min $500.0M</w:t>
            </w:r>
          </w:p>
        </w:tc>
        <w:tc>
          <w:tcPr>
            <w:tcW w:type="dxa" w:w="2160"/>
            <w:tcMar>
              <w:top w:w="80" w:type="dxa"/>
              <w:bottom w:w="80" w:type="dxa"/>
              <w:left w:w="100" w:type="dxa"/>
              <w:right w:w="100" w:type="dxa"/>
            </w:tcMar>
          </w:tcPr>
          <w:p>
            <w:r>
              <w:t>$600.0M</w:t>
            </w:r>
          </w:p>
        </w:tc>
        <w:tc>
          <w:tcPr>
            <w:tcW w:type="dxa" w:w="2160"/>
            <w:tcMar>
              <w:top w:w="80" w:type="dxa"/>
              <w:bottom w:w="80" w:type="dxa"/>
              <w:left w:w="100" w:type="dxa"/>
              <w:right w:w="100" w:type="dxa"/>
            </w:tcMar>
            <w:shd w:fill="D4EDDA"/>
            <w:tcMar>
              <w:top w:w="80" w:type="dxa"/>
              <w:bottom w:w="80" w:type="dxa"/>
              <w:left w:w="100" w:type="dxa"/>
              <w:right w:w="100" w:type="dxa"/>
            </w:tcMar>
          </w:tcPr>
          <w:p>
            <w:r>
              <w:t>COMPLIANT</w:t>
            </w:r>
          </w:p>
        </w:tc>
      </w:tr>
      <w:tr>
        <w:tc>
          <w:tcPr>
            <w:tcW w:type="dxa" w:w="2160"/>
            <w:tcMar>
              <w:top w:w="80" w:type="dxa"/>
              <w:bottom w:w="80" w:type="dxa"/>
              <w:left w:w="100" w:type="dxa"/>
              <w:right w:w="100" w:type="dxa"/>
            </w:tcMar>
          </w:tcPr>
          <w:p>
            <w:r>
              <w:t>Earnest Money Deposit (EMD)</w:t>
            </w:r>
          </w:p>
        </w:tc>
        <w:tc>
          <w:tcPr>
            <w:tcW w:type="dxa" w:w="2160"/>
            <w:tcMar>
              <w:top w:w="80" w:type="dxa"/>
              <w:bottom w:w="80" w:type="dxa"/>
              <w:left w:w="100" w:type="dxa"/>
              <w:right w:w="100" w:type="dxa"/>
            </w:tcMar>
          </w:tcPr>
          <w:p>
            <w:r>
              <w:t>Max $1.5M</w:t>
            </w:r>
          </w:p>
        </w:tc>
        <w:tc>
          <w:tcPr>
            <w:tcW w:type="dxa" w:w="2160"/>
            <w:tcMar>
              <w:top w:w="80" w:type="dxa"/>
              <w:bottom w:w="80" w:type="dxa"/>
              <w:left w:w="100" w:type="dxa"/>
              <w:right w:w="100" w:type="dxa"/>
            </w:tcMar>
          </w:tcPr>
          <w:p>
            <w:r>
              <w:t>Capacity up to $2.0M</w:t>
            </w:r>
          </w:p>
        </w:tc>
        <w:tc>
          <w:tcPr>
            <w:tcW w:type="dxa" w:w="2160"/>
            <w:tcMar>
              <w:top w:w="80" w:type="dxa"/>
              <w:bottom w:w="80" w:type="dxa"/>
              <w:left w:w="100" w:type="dxa"/>
              <w:right w:w="100" w:type="dxa"/>
            </w:tcMar>
            <w:shd w:fill="D4EDDA"/>
            <w:tcMar>
              <w:top w:w="80" w:type="dxa"/>
              <w:bottom w:w="80" w:type="dxa"/>
              <w:left w:w="100" w:type="dxa"/>
              <w:right w:w="100" w:type="dxa"/>
            </w:tcMar>
          </w:tcPr>
          <w:p>
            <w:r>
              <w:t>COMPLIANT</w:t>
            </w:r>
          </w:p>
        </w:tc>
      </w:tr>
      <w:tr>
        <w:tc>
          <w:tcPr>
            <w:tcW w:type="dxa" w:w="2160"/>
            <w:tcMar>
              <w:top w:w="80" w:type="dxa"/>
              <w:bottom w:w="80" w:type="dxa"/>
              <w:left w:w="100" w:type="dxa"/>
              <w:right w:w="100" w:type="dxa"/>
            </w:tcMar>
          </w:tcPr>
          <w:p>
            <w:r>
              <w:t>Security Clearance</w:t>
            </w:r>
          </w:p>
        </w:tc>
        <w:tc>
          <w:tcPr>
            <w:tcW w:type="dxa" w:w="2160"/>
            <w:tcMar>
              <w:top w:w="80" w:type="dxa"/>
              <w:bottom w:w="80" w:type="dxa"/>
              <w:left w:w="100" w:type="dxa"/>
              <w:right w:w="100" w:type="dxa"/>
            </w:tcMar>
          </w:tcPr>
          <w:p>
            <w:r>
              <w:t>Secret</w:t>
            </w:r>
          </w:p>
        </w:tc>
        <w:tc>
          <w:tcPr>
            <w:tcW w:type="dxa" w:w="2160"/>
            <w:tcMar>
              <w:top w:w="80" w:type="dxa"/>
              <w:bottom w:w="80" w:type="dxa"/>
              <w:left w:w="100" w:type="dxa"/>
              <w:right w:w="100" w:type="dxa"/>
            </w:tcMar>
          </w:tcPr>
          <w:p>
            <w:r>
              <w:t>Secret</w:t>
            </w:r>
          </w:p>
        </w:tc>
        <w:tc>
          <w:tcPr>
            <w:tcW w:type="dxa" w:w="2160"/>
            <w:tcMar>
              <w:top w:w="80" w:type="dxa"/>
              <w:bottom w:w="80" w:type="dxa"/>
              <w:left w:w="100" w:type="dxa"/>
              <w:right w:w="100" w:type="dxa"/>
            </w:tcMar>
            <w:shd w:fill="D4EDDA"/>
            <w:tcMar>
              <w:top w:w="80" w:type="dxa"/>
              <w:bottom w:w="80" w:type="dxa"/>
              <w:left w:w="100" w:type="dxa"/>
              <w:right w:w="100" w:type="dxa"/>
            </w:tcMar>
          </w:tcPr>
          <w:p>
            <w:r>
              <w:t>COMPLIANT</w:t>
            </w:r>
          </w:p>
        </w:tc>
      </w:tr>
    </w:tbl>
    <w:p>
      <w:pPr>
        <w:spacing w:after="300"/>
      </w:pPr>
    </w:p>
    <w:p>
      <w:pPr>
        <w:pStyle w:val="Heading1"/>
      </w:pPr>
      <w:r>
        <w:rPr>
          <w:color w:val="0C2340"/>
          <w:sz w:val="28"/>
        </w:rPr>
        <w:t>3. Technical &amp; Engineering Scorecard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708090"/>
            <w:tcMar>
              <w:top w:w="80" w:type="dxa"/>
              <w:bottom w:w="80" w:type="dxa"/>
              <w:left w:w="100" w:type="dxa"/>
              <w:right w:w="100" w:type="dxa"/>
            </w:tcMar>
          </w:tcPr>
          <w:p>
            <w:r>
              <w:rPr>
                <w:b/>
                <w:color w:val="FFFFFF"/>
                <w:sz w:val="19"/>
              </w:rPr>
              <w:t>Technical Spec</w:t>
            </w:r>
          </w:p>
        </w:tc>
        <w:tc>
          <w:tcPr>
            <w:tcW w:type="dxa" w:w="2160"/>
            <w:shd w:fill="708090"/>
            <w:tcMar>
              <w:top w:w="80" w:type="dxa"/>
              <w:bottom w:w="80" w:type="dxa"/>
              <w:left w:w="100" w:type="dxa"/>
              <w:right w:w="100" w:type="dxa"/>
            </w:tcMar>
          </w:tcPr>
          <w:p>
            <w:r>
              <w:rPr>
                <w:b/>
                <w:color w:val="FFFFFF"/>
                <w:sz w:val="19"/>
              </w:rPr>
              <w:t>Tender Requirement</w:t>
            </w:r>
          </w:p>
        </w:tc>
        <w:tc>
          <w:tcPr>
            <w:tcW w:type="dxa" w:w="2160"/>
            <w:shd w:fill="708090"/>
            <w:tcMar>
              <w:top w:w="80" w:type="dxa"/>
              <w:bottom w:w="80" w:type="dxa"/>
              <w:left w:w="100" w:type="dxa"/>
              <w:right w:w="100" w:type="dxa"/>
            </w:tcMar>
          </w:tcPr>
          <w:p>
            <w:r>
              <w:rPr>
                <w:b/>
                <w:color w:val="FFFFFF"/>
                <w:sz w:val="19"/>
              </w:rPr>
              <w:t>L&amp;T Capability / Gap</w:t>
            </w:r>
          </w:p>
        </w:tc>
        <w:tc>
          <w:tcPr>
            <w:tcW w:type="dxa" w:w="2160"/>
            <w:shd w:fill="708090"/>
            <w:tcMar>
              <w:top w:w="80" w:type="dxa"/>
              <w:bottom w:w="80" w:type="dxa"/>
              <w:left w:w="100" w:type="dxa"/>
              <w:right w:w="100" w:type="dxa"/>
            </w:tcMar>
          </w:tcPr>
          <w:p>
            <w:r>
              <w:rPr>
                <w:b/>
                <w:color w:val="FFFFFF"/>
                <w:sz w:val="19"/>
              </w:rPr>
              <w:t>Status</w:t>
            </w:r>
          </w:p>
        </w:tc>
      </w:tr>
      <w:tr>
        <w:tc>
          <w:tcPr>
            <w:tcW w:type="dxa" w:w="2160"/>
            <w:tcMar>
              <w:top w:w="80" w:type="dxa"/>
              <w:bottom w:w="80" w:type="dxa"/>
              <w:left w:w="100" w:type="dxa"/>
              <w:right w:w="100" w:type="dxa"/>
            </w:tcMar>
          </w:tcPr>
          <w:p>
            <w:r>
              <w:t>Operating Temperature</w:t>
              <w:br/>
              <w:t>(Clause 2.1.1)</w:t>
            </w:r>
          </w:p>
        </w:tc>
        <w:tc>
          <w:tcPr>
            <w:tcW w:type="dxa" w:w="2160"/>
            <w:tcMar>
              <w:top w:w="80" w:type="dxa"/>
              <w:bottom w:w="80" w:type="dxa"/>
              <w:left w:w="100" w:type="dxa"/>
              <w:right w:w="100" w:type="dxa"/>
            </w:tcMar>
          </w:tcPr>
          <w:p>
            <w:r>
              <w:t>The system must operate reliably under extreme climate conditions, specifically within a temperature range of -30°C to +75°C.</w:t>
            </w:r>
          </w:p>
        </w:tc>
        <w:tc>
          <w:tcPr>
            <w:tcW w:type="dxa" w:w="2160"/>
            <w:tcMar>
              <w:top w:w="80" w:type="dxa"/>
              <w:bottom w:w="80" w:type="dxa"/>
              <w:left w:w="100" w:type="dxa"/>
              <w:right w:w="100" w:type="dxa"/>
            </w:tcMar>
          </w:tcPr>
          <w:p>
            <w:r>
              <w:t>L&amp;T's environmental chambers support a temperature range of -40°C to +85°C.</w:t>
              <w:br/>
              <w:t>Gap: L&amp;T's testing facilities exceed the required operating temperature range, ensuring full compliance.</w:t>
            </w:r>
          </w:p>
        </w:tc>
        <w:tc>
          <w:tcPr>
            <w:tcW w:type="dxa" w:w="2160"/>
            <w:shd w:fill="D4EDDA"/>
            <w:tcMar>
              <w:top w:w="80" w:type="dxa"/>
              <w:bottom w:w="80" w:type="dxa"/>
              <w:left w:w="100" w:type="dxa"/>
              <w:right w:w="100" w:type="dxa"/>
            </w:tcMar>
          </w:tcPr>
          <w:p>
            <w:r>
              <w:t>COMPLIANT</w:t>
            </w:r>
          </w:p>
        </w:tc>
      </w:tr>
      <w:tr>
        <w:tc>
          <w:tcPr>
            <w:tcW w:type="dxa" w:w="2160"/>
            <w:tcMar>
              <w:top w:w="80" w:type="dxa"/>
              <w:bottom w:w="80" w:type="dxa"/>
              <w:left w:w="100" w:type="dxa"/>
              <w:right w:w="100" w:type="dxa"/>
            </w:tcMar>
          </w:tcPr>
          <w:p>
            <w:r>
              <w:t>Environmental Testing (Vibration &amp; Humidity)</w:t>
              <w:br/>
              <w:t>(Clause 2.1.2)</w:t>
            </w:r>
          </w:p>
        </w:tc>
        <w:tc>
          <w:tcPr>
            <w:tcW w:type="dxa" w:w="2160"/>
            <w:tcMar>
              <w:top w:w="80" w:type="dxa"/>
              <w:bottom w:w="80" w:type="dxa"/>
              <w:left w:w="100" w:type="dxa"/>
              <w:right w:w="100" w:type="dxa"/>
            </w:tcMar>
          </w:tcPr>
          <w:p>
            <w:r>
              <w:t>The complete assembly must be certified under MIL-STD-810H for vibration (up to 8g) and high-humidity environments.</w:t>
            </w:r>
          </w:p>
        </w:tc>
        <w:tc>
          <w:tcPr>
            <w:tcW w:type="dxa" w:w="2160"/>
            <w:tcMar>
              <w:top w:w="80" w:type="dxa"/>
              <w:bottom w:w="80" w:type="dxa"/>
              <w:left w:w="100" w:type="dxa"/>
              <w:right w:w="100" w:type="dxa"/>
            </w:tcMar>
          </w:tcPr>
          <w:p>
            <w:r>
              <w:t>L&amp;T possesses vibe tables capable of testing up to 10g and environmental chambers for high-humidity testing, supporting MIL-STD-810H compliance.</w:t>
              <w:br/>
              <w:t>Gap: L&amp;T's testing capabilities for vibration (up to 10g vs 8g required) and humidity are fully compliant with MIL-STD-810H.</w:t>
            </w:r>
          </w:p>
        </w:tc>
        <w:tc>
          <w:tcPr>
            <w:tcW w:type="dxa" w:w="2160"/>
            <w:shd w:fill="D4EDDA"/>
            <w:tcMar>
              <w:top w:w="80" w:type="dxa"/>
              <w:bottom w:w="80" w:type="dxa"/>
              <w:left w:w="100" w:type="dxa"/>
              <w:right w:w="100" w:type="dxa"/>
            </w:tcMar>
          </w:tcPr>
          <w:p>
            <w:r>
              <w:t>COMPLIANT</w:t>
            </w:r>
          </w:p>
        </w:tc>
      </w:tr>
      <w:tr>
        <w:tc>
          <w:tcPr>
            <w:tcW w:type="dxa" w:w="2160"/>
            <w:tcMar>
              <w:top w:w="80" w:type="dxa"/>
              <w:bottom w:w="80" w:type="dxa"/>
              <w:left w:w="100" w:type="dxa"/>
              <w:right w:w="100" w:type="dxa"/>
            </w:tcMar>
          </w:tcPr>
          <w:p>
            <w:r>
              <w:t>Materials (Domestic Defense-Grade Steel)</w:t>
              <w:br/>
              <w:t>(Clause 2.1.3)</w:t>
            </w:r>
          </w:p>
        </w:tc>
        <w:tc>
          <w:tcPr>
            <w:tcW w:type="dxa" w:w="2160"/>
            <w:tcMar>
              <w:top w:w="80" w:type="dxa"/>
              <w:bottom w:w="80" w:type="dxa"/>
              <w:left w:w="100" w:type="dxa"/>
              <w:right w:w="100" w:type="dxa"/>
            </w:tcMar>
          </w:tcPr>
          <w:p>
            <w:r>
              <w:t>Primary structural frames must utilize high-tensile domestic defense-grade steel. Proof of local sourcing is mandatory.</w:t>
            </w:r>
          </w:p>
        </w:tc>
        <w:tc>
          <w:tcPr>
            <w:tcW w:type="dxa" w:w="2160"/>
            <w:tcMar>
              <w:top w:w="80" w:type="dxa"/>
              <w:bottom w:w="80" w:type="dxa"/>
              <w:left w:w="100" w:type="dxa"/>
              <w:right w:w="100" w:type="dxa"/>
            </w:tcMar>
          </w:tcPr>
          <w:p>
            <w:r>
              <w:t>As a domestic defense manufacturer, L&amp;T has established supply chains for high-tensile domestic defense-grade steel and can provide proof of local sourcing.</w:t>
              <w:br/>
              <w:t>Gap: L&amp;T's domestic presence and supply chain ensure compliance with the material sourcing requirement.</w:t>
            </w:r>
          </w:p>
        </w:tc>
        <w:tc>
          <w:tcPr>
            <w:tcW w:type="dxa" w:w="2160"/>
            <w:shd w:fill="D4EDDA"/>
            <w:tcMar>
              <w:top w:w="80" w:type="dxa"/>
              <w:bottom w:w="80" w:type="dxa"/>
              <w:left w:w="100" w:type="dxa"/>
              <w:right w:w="100" w:type="dxa"/>
            </w:tcMar>
          </w:tcPr>
          <w:p>
            <w:r>
              <w:t>COMPLIANT</w:t>
            </w:r>
          </w:p>
        </w:tc>
      </w:tr>
      <w:tr>
        <w:tc>
          <w:tcPr>
            <w:tcW w:type="dxa" w:w="2160"/>
            <w:tcMar>
              <w:top w:w="80" w:type="dxa"/>
              <w:bottom w:w="80" w:type="dxa"/>
              <w:left w:w="100" w:type="dxa"/>
              <w:right w:w="100" w:type="dxa"/>
            </w:tcMar>
          </w:tcPr>
          <w:p>
            <w:r>
              <w:t>Soldering and Wiring Standards</w:t>
              <w:br/>
              <w:t>(Clause 2.2.1)</w:t>
            </w:r>
          </w:p>
        </w:tc>
        <w:tc>
          <w:tcPr>
            <w:tcW w:type="dxa" w:w="2160"/>
            <w:tcMar>
              <w:top w:w="80" w:type="dxa"/>
              <w:bottom w:w="80" w:type="dxa"/>
              <w:left w:w="100" w:type="dxa"/>
              <w:right w:w="100" w:type="dxa"/>
            </w:tcMar>
          </w:tcPr>
          <w:p>
            <w:r>
              <w:t>All internal PCBs and cable assemblies must be manufactured in accordance with IPC/WHMA-A-620 and J-STD-001 military-grade soldering specifications.</w:t>
            </w:r>
          </w:p>
        </w:tc>
        <w:tc>
          <w:tcPr>
            <w:tcW w:type="dxa" w:w="2160"/>
            <w:tcMar>
              <w:top w:w="80" w:type="dxa"/>
              <w:bottom w:w="80" w:type="dxa"/>
              <w:left w:w="100" w:type="dxa"/>
              <w:right w:w="100" w:type="dxa"/>
            </w:tcMar>
          </w:tcPr>
          <w:p>
            <w:r>
              <w:t>L&amp;T Defence adheres to stringent military-grade manufacturing standards, including IPC/WHMA-A-620 and J-STD-001 for soldering and wiring, as part of its standard operating procedures for defense projects.</w:t>
              <w:br/>
              <w:t>Gap: L&amp;T's established manufacturing processes for defense projects are in full alignment with the specified military-grade soldering and wiring standards.</w:t>
            </w:r>
          </w:p>
        </w:tc>
        <w:tc>
          <w:tcPr>
            <w:tcW w:type="dxa" w:w="2160"/>
            <w:shd w:fill="D4EDDA"/>
            <w:tcMar>
              <w:top w:w="80" w:type="dxa"/>
              <w:bottom w:w="80" w:type="dxa"/>
              <w:left w:w="100" w:type="dxa"/>
              <w:right w:w="100" w:type="dxa"/>
            </w:tcMar>
          </w:tcPr>
          <w:p>
            <w:r>
              <w:t>COMPLIANT</w:t>
            </w:r>
          </w:p>
        </w:tc>
      </w:tr>
      <w:tr>
        <w:tc>
          <w:tcPr>
            <w:tcW w:type="dxa" w:w="2160"/>
            <w:tcMar>
              <w:top w:w="80" w:type="dxa"/>
              <w:bottom w:w="80" w:type="dxa"/>
              <w:left w:w="100" w:type="dxa"/>
              <w:right w:w="100" w:type="dxa"/>
            </w:tcMar>
          </w:tcPr>
          <w:p>
            <w:r>
              <w:t>Quality Assurance (AS9100 Rev D)</w:t>
              <w:br/>
              <w:t>(Clause 2.2.2)</w:t>
            </w:r>
          </w:p>
        </w:tc>
        <w:tc>
          <w:tcPr>
            <w:tcW w:type="dxa" w:w="2160"/>
            <w:tcMar>
              <w:top w:w="80" w:type="dxa"/>
              <w:bottom w:w="80" w:type="dxa"/>
              <w:left w:w="100" w:type="dxa"/>
              <w:right w:w="100" w:type="dxa"/>
            </w:tcMar>
          </w:tcPr>
          <w:p>
            <w:r>
              <w:t>The manufacturer's production facility must maintain AS9100 Rev D certification throughout the execution of the contract.</w:t>
            </w:r>
          </w:p>
        </w:tc>
        <w:tc>
          <w:tcPr>
            <w:tcW w:type="dxa" w:w="2160"/>
            <w:tcMar>
              <w:top w:w="80" w:type="dxa"/>
              <w:bottom w:w="80" w:type="dxa"/>
              <w:left w:w="100" w:type="dxa"/>
              <w:right w:w="100" w:type="dxa"/>
            </w:tcMar>
          </w:tcPr>
          <w:p>
            <w:r>
              <w:t>L&amp;T holds active AS9100 certification (valid until 2028-06-30), which covers the entire contract execution period.</w:t>
              <w:br/>
              <w:t>Gap: L&amp;T's current and active AS9100 certification ensures compliance with this quality assurance requirement.</w:t>
            </w:r>
          </w:p>
        </w:tc>
        <w:tc>
          <w:tcPr>
            <w:tcW w:type="dxa" w:w="2160"/>
            <w:shd w:fill="D4EDDA"/>
            <w:tcMar>
              <w:top w:w="80" w:type="dxa"/>
              <w:bottom w:w="80" w:type="dxa"/>
              <w:left w:w="100" w:type="dxa"/>
              <w:right w:w="100" w:type="dxa"/>
            </w:tcMar>
          </w:tcPr>
          <w:p>
            <w:r>
              <w:t>COMPLIANT</w:t>
            </w:r>
          </w:p>
        </w:tc>
      </w:tr>
    </w:tbl>
    <w:p>
      <w:pPr>
        <w:spacing w:after="400"/>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Confidential - Larsen &amp; Toubro Defence Internal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708090"/>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