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bottom w:val="single" w:color="1f3864" w:sz="8" w:space="4"/>
        </w:pBdr>
        <w:spacing w:after="80" w:before="1400"/>
        <w:ind/>
        <w:rPr/>
      </w:pPr>
      <w:r>
        <w:rPr>
          <w:b/>
          <w:bCs/>
          <w:color w:val="1f3864"/>
          <w:sz w:val="52"/>
          <w:szCs w:val="52"/>
        </w:rPr>
        <w:t xml:space="preserve">Planejador Previdenciário MFAA</w:t>
      </w:r>
      <w:r/>
    </w:p>
    <w:p>
      <w:pPr>
        <w:pBdr/>
        <w:spacing w:after="80"/>
        <w:ind/>
        <w:rPr/>
      </w:pPr>
      <w:r>
        <w:rPr>
          <w:color w:val="595959"/>
          <w:sz w:val="32"/>
          <w:szCs w:val="32"/>
        </w:rPr>
        <w:t xml:space="preserve">Manual de Uso e Instruções</w:t>
      </w:r>
      <w:r/>
    </w:p>
    <w:p>
      <w:pPr>
        <w:pBdr/>
        <w:spacing w:after="600"/>
        <w:ind/>
        <w:rPr/>
      </w:pPr>
      <w:r>
        <w:rPr>
          <w:i/>
          <w:iCs/>
          <w:color w:val="595959"/>
        </w:rPr>
        <w:t xml:space="preserve">Escritório Machado Filgueiras Advogados · uso interno · junho/2026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38"/>
        <w:pBdr/>
        <w:spacing/>
        <w:ind/>
        <w:rPr/>
      </w:pPr>
      <w:r>
        <w:t xml:space="preserve">1. Visão geral</w:t>
      </w:r>
      <w:r/>
    </w:p>
    <w:p>
      <w:pPr>
        <w:pBdr/>
        <w:spacing w:after="130" w:line="282" w:lineRule="auto"/>
        <w:ind/>
        <w:rPr/>
      </w:pPr>
      <w:r>
        <w:t xml:space="preserve">O Planejador automatiza o planejamento previdenciário do escritório: você carrega os documentos do caso, o sistema </w:t>
      </w:r>
      <w:r>
        <w:rPr>
          <w:b/>
          <w:bCs/>
        </w:rPr>
        <w:t xml:space="preserve">lê, confere, audita e calcula</w:t>
      </w:r>
      <w:r>
        <w:t xml:space="preserve">, e gera os entregáveis (contagens, parecer e planilha ROI) no padrão da casa.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26"/>
      </w:tblGrid>
      <w:tr>
        <w:trPr/>
        <w:tc>
          <w:tcPr>
            <w:shd w:val="clear" w:color="auto" w:fill="eef2f8"/>
            <w:tcBorders>
              <w:top w:val="single" w:color="cccccc" w:sz="1" w:space="0"/>
              <w:left w:val="single" w:color="1f3864" w:sz="18" w:space="0"/>
              <w:bottom w:val="single" w:color="cccccc" w:sz="1" w:space="0"/>
              <w:right w:val="single" w:color="cccccc" w:sz="1" w:space="0"/>
            </w:tcBorders>
            <w:tcMar>
              <w:left w:w="200" w:type="dxa"/>
              <w:top w:w="120" w:type="dxa"/>
              <w:right w:w="160" w:type="dxa"/>
              <w:bottom w:w="120" w:type="dxa"/>
            </w:tcMar>
            <w:tcW w:w="9026" w:type="dxa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b/>
                <w:bCs/>
              </w:rPr>
              <w:t xml:space="preserve">Princípio central: </w:t>
            </w:r>
            <w:r>
              <w:t xml:space="preserve">todo número vem de um motor de cálculo determinístico e testado — a inteligência artificial só auxilia (ler documentos, sugerir dados). Por isso, o sistema sempre PROPÕE e o advogado CONFERE e CONFIRMA.</w:t>
            </w:r>
            <w:r/>
          </w:p>
        </w:tc>
      </w:tr>
    </w:tbl>
    <w:p>
      <w:pPr>
        <w:pBdr/>
        <w:spacing w:after="130" w:line="282" w:lineRule="auto"/>
        <w:ind/>
        <w:rPr/>
      </w:pPr>
      <w:r>
        <w:t xml:space="preserve">Um caso percorre seis abas, da esquerda para a direita: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700"/>
        <w:gridCol w:w="7326"/>
      </w:tblGrid>
      <w:tr>
        <w:trPr>
          <w:tblHeader/>
        </w:trPr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17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b/>
                <w:bCs/>
                <w:color w:val="ffffff"/>
              </w:rPr>
              <w:t xml:space="preserve">Aba</w:t>
            </w:r>
            <w:r/>
          </w:p>
        </w:tc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73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b/>
                <w:bCs/>
                <w:color w:val="ffffff"/>
              </w:rPr>
              <w:t xml:space="preserve">Para que serve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17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</w:rPr>
              <w:t xml:space="preserve">Dados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73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</w:rPr>
              <w:t xml:space="preserve">Identificação do segurado, status do caso, follow-ups e comentários.</w:t>
            </w:r>
            <w:r/>
          </w:p>
        </w:tc>
      </w:tr>
      <w:tr>
        <w:trPr/>
        <w:tc>
          <w:tcPr>
            <w:shd w:val="clear" w:color="auto" w:fill="f2f5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17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</w:rPr>
              <w:t xml:space="preserve">CNIS</w:t>
            </w:r>
            <w:r/>
          </w:p>
        </w:tc>
        <w:tc>
          <w:tcPr>
            <w:shd w:val="clear" w:color="auto" w:fill="f2f5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73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</w:rPr>
              <w:t xml:space="preserve">Upload do extrato CNIS, leitura automática e conferência dos vínculos e salários.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17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</w:rPr>
              <w:t xml:space="preserve">Auditoria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73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</w:rPr>
              <w:t xml:space="preserve">Resumo (TC, carência, idade), pendências do CNIS e enquadramento nas regras.</w:t>
            </w:r>
            <w:r/>
          </w:p>
        </w:tc>
      </w:tr>
      <w:tr>
        <w:trPr/>
        <w:tc>
          <w:tcPr>
            <w:shd w:val="clear" w:color="auto" w:fill="f2f5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17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</w:rPr>
              <w:t xml:space="preserve">Cenários</w:t>
            </w:r>
            <w:r/>
          </w:p>
        </w:tc>
        <w:tc>
          <w:tcPr>
            <w:shd w:val="clear" w:color="auto" w:fill="f2f5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73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</w:rPr>
              <w:t xml:space="preserve">Monta as opções de aposentadoria com RMI e ROI; inclui especial, professor, PCD e RPPS.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17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</w:rPr>
              <w:t xml:space="preserve">Arquivos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73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</w:rPr>
              <w:t xml:space="preserve">Repositório de documentos (PPP, CTSM, CTC...) com leitura automática.</w:t>
            </w:r>
            <w:r/>
          </w:p>
        </w:tc>
      </w:tr>
      <w:tr>
        <w:trPr/>
        <w:tc>
          <w:tcPr>
            <w:shd w:val="clear" w:color="auto" w:fill="f2f5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17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</w:rPr>
              <w:t xml:space="preserve">Documentos</w:t>
            </w:r>
            <w:r/>
          </w:p>
        </w:tc>
        <w:tc>
          <w:tcPr>
            <w:shd w:val="clear" w:color="auto" w:fill="f2f5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73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</w:rPr>
              <w:t xml:space="preserve">Gera contagens, parecer .docx, planilha ROI e o resumo de atendimento.</w:t>
            </w:r>
            <w:r/>
          </w:p>
        </w:tc>
      </w:tr>
    </w:tbl>
    <w:p>
      <w:pPr>
        <w:pStyle w:val="738"/>
        <w:pBdr/>
        <w:spacing/>
        <w:ind/>
        <w:rPr/>
      </w:pPr>
      <w:r>
        <w:t xml:space="preserve">2. Acesso e lista de casos</w:t>
      </w:r>
      <w:r/>
    </w:p>
    <w:p>
      <w:pPr>
        <w:pBdr/>
        <w:spacing w:after="130" w:line="282" w:lineRule="auto"/>
        <w:ind/>
        <w:rPr>
          <w:highlight w:val="none"/>
        </w:rPr>
      </w:pPr>
      <w:r>
        <w:t xml:space="preserve">Faça login com seu e-mail e senha (no primeiro acesso, o sistema pede a troca da senha). A tela inicial é a </w:t>
      </w:r>
      <w:r>
        <w:rPr>
          <w:b/>
          <w:bCs/>
        </w:rPr>
        <w:t xml:space="preserve">lista de casos</w:t>
      </w:r>
      <w:r>
        <w:t xml:space="preserve">, com busca por nome e o status de cada um.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26"/>
      </w:tblGrid>
      <w:tr>
        <w:trPr/>
        <w:tc>
          <w:tcPr>
            <w:shd w:val="clear" w:color="auto" w:fill="f2f5fa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tcMar>
              <w:left w:w="200" w:type="dxa"/>
              <w:top w:w="300" w:type="dxa"/>
              <w:right w:w="200" w:type="dxa"/>
              <w:bottom w:w="300" w:type="dxa"/>
            </w:tcMar>
            <w:tcW w:w="9026" w:type="dxa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rPr>
                <w:b/>
                <w:bCs/>
                <w:color w:val="1f3864"/>
              </w:rPr>
              <w:t xml:space="preserve">📷 Figura 1 — Lista de Casos</w:t>
            </w:r>
            <w:r>
              <w:br/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731510" cy="1407555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0058199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731509" cy="140755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451.30pt;height:110.83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/>
            <w:r>
              <w:rPr>
                <w:i/>
                <w:iCs/>
                <w:color w:val="595959"/>
                <w:sz w:val="18"/>
                <w:szCs w:val="18"/>
              </w:rPr>
            </w:r>
            <w:r/>
          </w:p>
        </w:tc>
      </w:tr>
    </w:tbl>
    <w:p>
      <w:pPr>
        <w:pBdr/>
        <w:spacing w:after="130" w:line="282" w:lineRule="auto"/>
        <w:ind/>
        <w:rPr/>
      </w:pPr>
      <w:r>
        <w:rPr>
          <w:b/>
          <w:bCs/>
        </w:rPr>
        <w:t xml:space="preserve">Para começar um caso novo: </w:t>
      </w:r>
      <w:r>
        <w:t xml:space="preserve">clique em "Novo caso" (canto superior direito) e informe nome, sexo e data de nascimento do cliente.</w:t>
      </w:r>
      <w:r/>
    </w:p>
    <w:p>
      <w:pPr>
        <w:pStyle w:val="738"/>
        <w:pBdr/>
        <w:spacing/>
        <w:ind/>
        <w:rPr/>
      </w:pPr>
      <w:r>
        <w:t xml:space="preserve">3. Aba Dados</w:t>
      </w:r>
      <w:r/>
    </w:p>
    <w:p>
      <w:pPr>
        <w:pBdr/>
        <w:spacing w:after="130" w:line="282" w:lineRule="auto"/>
        <w:ind/>
        <w:rPr/>
      </w:pPr>
      <w:r>
        <w:t xml:space="preserve">Mostra a identificação do caso e permite gerenciar o andamento:</w:t>
      </w:r>
      <w:r/>
    </w:p>
    <w:p>
      <w:pPr>
        <w:pStyle w:val="730"/>
        <w:numPr>
          <w:ilvl w:val="0"/>
          <w:numId w:val="2"/>
        </w:numPr>
        <w:pBdr/>
        <w:spacing w:after="70" w:line="282" w:lineRule="auto"/>
        <w:ind/>
        <w:rPr/>
      </w:pPr>
      <w:r>
        <w:rPr>
          <w:b/>
          <w:bCs/>
        </w:rPr>
        <w:t xml:space="preserve">Alterar status: </w:t>
      </w:r>
      <w:r>
        <w:t xml:space="preserve">move o caso pelo fluxo (coleta → conferência → auditoria → cenários → ... → entregue). Para EDITAR dados já confirmados, volte o status para "coleta".</w:t>
      </w:r>
      <w:r/>
    </w:p>
    <w:p>
      <w:pPr>
        <w:pStyle w:val="730"/>
        <w:numPr>
          <w:ilvl w:val="0"/>
          <w:numId w:val="2"/>
        </w:numPr>
        <w:pBdr/>
        <w:spacing w:after="70" w:line="282" w:lineRule="auto"/>
        <w:ind/>
        <w:rPr/>
      </w:pPr>
      <w:r>
        <w:rPr>
          <w:b/>
          <w:bCs/>
        </w:rPr>
        <w:t xml:space="preserve">Follow-ups: </w:t>
      </w:r>
      <w:r>
        <w:t xml:space="preserve">tarefas com prazo para acompanhar o caso.</w:t>
      </w:r>
      <w:r/>
    </w:p>
    <w:p>
      <w:pPr>
        <w:pStyle w:val="730"/>
        <w:numPr>
          <w:ilvl w:val="0"/>
          <w:numId w:val="2"/>
        </w:numPr>
        <w:pBdr/>
        <w:spacing w:after="70" w:line="282" w:lineRule="auto"/>
        <w:ind/>
        <w:rPr/>
      </w:pPr>
      <w:r>
        <w:rPr>
          <w:b/>
          <w:bCs/>
        </w:rPr>
        <w:t xml:space="preserve">Comentários: </w:t>
      </w:r>
      <w:r>
        <w:t xml:space="preserve">anotações internas da equipe sobre o caso.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26"/>
      </w:tblGrid>
      <w:tr>
        <w:trPr/>
        <w:tc>
          <w:tcPr>
            <w:shd w:val="clear" w:color="auto" w:fill="f2f5fa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tcMar>
              <w:left w:w="200" w:type="dxa"/>
              <w:top w:w="300" w:type="dxa"/>
              <w:right w:w="200" w:type="dxa"/>
              <w:bottom w:w="300" w:type="dxa"/>
            </w:tcMar>
            <w:tcW w:w="9026" w:type="dxa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rPr>
                <w:b/>
                <w:bCs/>
                <w:color w:val="1f3864"/>
              </w:rPr>
              <w:t xml:space="preserve">📷 Figura 2 — Aba Dados (status, follow-ups, comentários)</w:t>
            </w:r>
            <w:r>
              <w:br/>
              <w:t xml:space="preserve">
</w:t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731510" cy="2607381"/>
                      <wp:effectExtent l="0" t="0" r="0" b="0"/>
                      <wp:docPr id="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5140924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731509" cy="260738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451.30pt;height:205.31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/>
            <w:r>
              <w:rPr>
                <w:i/>
                <w:iCs/>
                <w:color w:val="595959"/>
                <w:sz w:val="18"/>
                <w:szCs w:val="18"/>
              </w:rPr>
            </w:r>
            <w:r/>
          </w:p>
        </w:tc>
      </w:tr>
    </w:tbl>
    <w:p>
      <w:pPr>
        <w:pStyle w:val="738"/>
        <w:pBdr/>
        <w:spacing/>
        <w:ind/>
        <w:rPr/>
      </w:pPr>
      <w:r>
        <w:t xml:space="preserve">4. Aba CNIS</w:t>
      </w:r>
      <w:r/>
    </w:p>
    <w:p>
      <w:pPr>
        <w:pBdr/>
        <w:spacing w:after="130" w:line="282" w:lineRule="auto"/>
        <w:ind/>
        <w:rPr/>
      </w:pPr>
      <w:r>
        <w:t xml:space="preserve">É por aqui que entra a </w:t>
      </w:r>
      <w:r>
        <w:rPr>
          <w:b/>
          <w:bCs/>
        </w:rPr>
        <w:t xml:space="preserve">matéria-prima do cálculo</w:t>
      </w:r>
      <w:r>
        <w:t xml:space="preserve">. Faça o upload do PDF do extrato CNIS (tipo "Vínculos, contribuições e remunerações"). O sistema lê o documento automaticamente (com OCR para PDFs escaneados) e mostra os vínculos e salários para você conferir.</w:t>
      </w:r>
      <w:r/>
    </w:p>
    <w:p>
      <w:pPr>
        <w:pStyle w:val="739"/>
        <w:pBdr/>
        <w:spacing/>
        <w:ind/>
        <w:rPr/>
      </w:pPr>
      <w:r>
        <w:t xml:space="preserve">Conferência</w:t>
      </w:r>
      <w:r/>
    </w:p>
    <w:p>
      <w:pPr>
        <w:pStyle w:val="730"/>
        <w:numPr>
          <w:ilvl w:val="0"/>
          <w:numId w:val="3"/>
        </w:numPr>
        <w:pBdr/>
        <w:spacing w:after="80" w:line="282" w:lineRule="auto"/>
        <w:ind/>
        <w:rPr/>
      </w:pPr>
      <w:r>
        <w:t xml:space="preserve">Suba o PDF do CNIS (ou use a entrada manual, colando períodos e salários).</w:t>
      </w:r>
      <w:r/>
    </w:p>
    <w:p>
      <w:pPr>
        <w:pStyle w:val="730"/>
        <w:numPr>
          <w:ilvl w:val="0"/>
          <w:numId w:val="3"/>
        </w:numPr>
        <w:pBdr/>
        <w:spacing w:after="80" w:line="282" w:lineRule="auto"/>
        <w:ind/>
        <w:rPr/>
      </w:pPr>
      <w:r>
        <w:t xml:space="preserve">Confira a tabela de vínculos (início, fim, tipo) e a de competências/salários.</w:t>
      </w:r>
      <w:r/>
    </w:p>
    <w:p>
      <w:pPr>
        <w:pStyle w:val="730"/>
        <w:numPr>
          <w:ilvl w:val="0"/>
          <w:numId w:val="3"/>
        </w:numPr>
        <w:pBdr/>
        <w:spacing w:after="80" w:line="282" w:lineRule="auto"/>
        <w:ind/>
        <w:rPr/>
      </w:pPr>
      <w:r>
        <w:t xml:space="preserve">Clique em "Confirmar dados". Só depois disso o sistema calcula — nada roda sobre dado não confirmado.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26"/>
      </w:tblGrid>
      <w:tr>
        <w:trPr/>
        <w:tc>
          <w:tcPr>
            <w:shd w:val="clear" w:color="auto" w:fill="f2f5fa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tcMar>
              <w:left w:w="200" w:type="dxa"/>
              <w:top w:w="300" w:type="dxa"/>
              <w:right w:w="200" w:type="dxa"/>
              <w:bottom w:w="300" w:type="dxa"/>
            </w:tcMar>
            <w:tcW w:w="9026" w:type="dxa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rPr>
                <w:b/>
                <w:bCs/>
                <w:color w:val="1f3864"/>
              </w:rPr>
              <w:t xml:space="preserve">📷 Figura 3 — CNIS — Dados confirmados (vínculos e salários)</w:t>
            </w:r>
            <w:r>
              <w:br/>
              <w:t xml:space="preserve">
</w:t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731510" cy="4125601"/>
                      <wp:effectExtent l="0" t="0" r="0" b="0"/>
                      <wp:docPr id="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46303929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731509" cy="412560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451.30pt;height:324.85pt;mso-wrap-distance-left:0.00pt;mso-wrap-distance-top:0.00pt;mso-wrap-distance-right:0.00pt;mso-wrap-distance-bottom:0.00pt;z-index:1;" stroked="false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/>
            <w:r>
              <w:rPr>
                <w:i/>
                <w:iCs/>
                <w:color w:val="595959"/>
                <w:sz w:val="18"/>
                <w:szCs w:val="18"/>
              </w:rPr>
            </w:r>
            <w:r/>
          </w:p>
        </w:tc>
      </w:tr>
    </w:tbl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26"/>
      </w:tblGrid>
      <w:tr>
        <w:trPr/>
        <w:tc>
          <w:tcPr>
            <w:shd w:val="clear" w:color="auto" w:fill="eef2f8"/>
            <w:tcBorders>
              <w:top w:val="single" w:color="cccccc" w:sz="1" w:space="0"/>
              <w:left w:val="single" w:color="1f3864" w:sz="18" w:space="0"/>
              <w:bottom w:val="single" w:color="cccccc" w:sz="1" w:space="0"/>
              <w:right w:val="single" w:color="cccccc" w:sz="1" w:space="0"/>
            </w:tcBorders>
            <w:tcMar>
              <w:left w:w="200" w:type="dxa"/>
              <w:top w:w="120" w:type="dxa"/>
              <w:right w:w="160" w:type="dxa"/>
              <w:bottom w:w="120" w:type="dxa"/>
            </w:tcMar>
            <w:tcW w:w="9026" w:type="dxa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b/>
                <w:bCs/>
              </w:rPr>
              <w:t xml:space="preserve">Importante: </w:t>
            </w:r>
            <w:r>
              <w:t xml:space="preserve">os outros documentos (PPP, CTSM, CTC) NÃO entram aqui — vão na aba Arquivos. Só o CNIS é processado nesta aba.</w:t>
            </w:r>
            <w:r/>
          </w:p>
        </w:tc>
      </w:tr>
    </w:tbl>
    <w:p>
      <w:pPr>
        <w:pStyle w:val="738"/>
        <w:pBdr/>
        <w:spacing/>
        <w:ind/>
        <w:rPr/>
      </w:pPr>
      <w:r>
        <w:t xml:space="preserve">5. Aba Auditoria</w:t>
      </w:r>
      <w:r/>
    </w:p>
    <w:p>
      <w:pPr>
        <w:pBdr/>
        <w:spacing w:after="130" w:line="282" w:lineRule="auto"/>
        <w:ind/>
        <w:rPr/>
      </w:pPr>
      <w:r>
        <w:t xml:space="preserve">Dá o retrato previdenciário do segurado e aponta problemas. Tem três blocos:</w:t>
      </w:r>
      <w:r/>
    </w:p>
    <w:p>
      <w:pPr>
        <w:pStyle w:val="730"/>
        <w:numPr>
          <w:ilvl w:val="0"/>
          <w:numId w:val="2"/>
        </w:numPr>
        <w:pBdr/>
        <w:spacing w:after="70" w:line="282" w:lineRule="auto"/>
        <w:ind/>
        <w:rPr/>
      </w:pPr>
      <w:r>
        <w:rPr>
          <w:b/>
          <w:bCs/>
        </w:rPr>
        <w:t xml:space="preserve">Resumo: </w:t>
      </w:r>
      <w:r>
        <w:t xml:space="preserve">tempo de contribuição em 12/11/2019 (véspera da reforma), TC atual, idade e carência (campo editável).</w:t>
      </w:r>
      <w:r/>
    </w:p>
    <w:p>
      <w:pPr>
        <w:pStyle w:val="730"/>
        <w:numPr>
          <w:ilvl w:val="0"/>
          <w:numId w:val="2"/>
        </w:numPr>
        <w:pBdr/>
        <w:spacing w:after="70" w:line="282" w:lineRule="auto"/>
        <w:ind/>
        <w:rPr/>
      </w:pPr>
      <w:r>
        <w:rPr>
          <w:b/>
          <w:bCs/>
        </w:rPr>
        <w:t xml:space="preserve">Pendências: </w:t>
      </w:r>
      <w:r>
        <w:t xml:space="preserve">falhas detectadas no CNIS (indicadores, lacunas entre vínculos, competências sem período), com a severidade e a providência sugerida.</w:t>
      </w:r>
      <w:r/>
    </w:p>
    <w:p>
      <w:pPr>
        <w:pStyle w:val="730"/>
        <w:numPr>
          <w:ilvl w:val="0"/>
          <w:numId w:val="2"/>
        </w:numPr>
        <w:pBdr/>
        <w:spacing w:after="70" w:line="282" w:lineRule="auto"/>
        <w:ind/>
        <w:rPr/>
      </w:pPr>
      <w:r>
        <w:rPr>
          <w:b/>
          <w:bCs/>
        </w:rPr>
        <w:t xml:space="preserve">Enquadramento nas regras: </w:t>
      </w:r>
      <w:r>
        <w:t xml:space="preserve">para cada regra (direito adquirido, transições da EC 103, permanente), mostra se está cumprida e a data de implemento projetada.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26"/>
      </w:tblGrid>
      <w:tr>
        <w:trPr/>
        <w:tc>
          <w:tcPr>
            <w:shd w:val="clear" w:color="auto" w:fill="f2f5fa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tcMar>
              <w:left w:w="200" w:type="dxa"/>
              <w:top w:w="300" w:type="dxa"/>
              <w:right w:w="200" w:type="dxa"/>
              <w:bottom w:w="300" w:type="dxa"/>
            </w:tcMar>
            <w:tcW w:w="9026" w:type="dxa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rPr>
                <w:b/>
                <w:bCs/>
                <w:color w:val="1f3864"/>
              </w:rPr>
              <w:t xml:space="preserve">📷 Figura 4 — Aba Auditoria (resumo, pendências, enquadramento)</w:t>
            </w:r>
            <w:r>
              <w:br/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731510" cy="4572759"/>
                      <wp:effectExtent l="0" t="0" r="0" b="0"/>
                      <wp:docPr id="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3526087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731509" cy="457275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451.30pt;height:360.06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/>
            <w:r/>
          </w:p>
        </w:tc>
      </w:tr>
    </w:tbl>
    <w:p>
      <w:pPr>
        <w:pBdr/>
        <w:spacing w:after="130" w:line="282" w:lineRule="auto"/>
        <w:ind/>
        <w:rPr/>
      </w:pPr>
      <w:r>
        <w:rPr>
          <w:b/>
          <w:bCs/>
        </w:rPr>
        <w:t xml:space="preserve">Texto de pré-análise: </w:t>
      </w:r>
      <w:r>
        <w:t xml:space="preserve">o botão no rodapé gera o texto técnico da análise no formato do escritório, pronto para copiar.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26"/>
      </w:tblGrid>
      <w:tr>
        <w:trPr/>
        <w:tc>
          <w:tcPr>
            <w:shd w:val="clear" w:color="auto" w:fill="eef2f8"/>
            <w:tcBorders>
              <w:top w:val="single" w:color="cccccc" w:sz="1" w:space="0"/>
              <w:left w:val="single" w:color="1f3864" w:sz="18" w:space="0"/>
              <w:bottom w:val="single" w:color="cccccc" w:sz="1" w:space="0"/>
              <w:right w:val="single" w:color="cccccc" w:sz="1" w:space="0"/>
            </w:tcBorders>
            <w:tcMar>
              <w:left w:w="200" w:type="dxa"/>
              <w:top w:w="120" w:type="dxa"/>
              <w:right w:w="160" w:type="dxa"/>
              <w:bottom w:w="120" w:type="dxa"/>
            </w:tcMar>
            <w:tcW w:w="9026" w:type="dxa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i/>
                <w:iCs/>
                <w:color w:val="595959"/>
              </w:rPr>
              <w:t xml:space="preserve">Observação: a atividade especial (do PPP) já reflete aqui no TC e nas regras. Professor e PCD são marcados na aba Cenários e não aparecem nesta tela.</w:t>
            </w:r>
            <w:r/>
          </w:p>
        </w:tc>
      </w:tr>
    </w:tbl>
    <w:p>
      <w:pPr>
        <w:pStyle w:val="738"/>
        <w:pBdr/>
        <w:spacing/>
        <w:ind/>
        <w:rPr/>
      </w:pPr>
      <w:r>
        <w:t xml:space="preserve">6. Aba Arquivos</w:t>
      </w:r>
      <w:r/>
    </w:p>
    <w:p>
      <w:pPr>
        <w:pBdr/>
        <w:spacing w:after="130" w:line="282" w:lineRule="auto"/>
        <w:ind/>
        <w:rPr/>
      </w:pPr>
      <w:r>
        <w:t xml:space="preserve">Repositório de </w:t>
      </w:r>
      <w:r>
        <w:rPr>
          <w:b/>
          <w:bCs/>
        </w:rPr>
        <w:t xml:space="preserve">qualquer documento</w:t>
      </w:r>
      <w:r>
        <w:t xml:space="preserve"> do caso. Ao subir um PDF, o sistema sugere a classificação automaticamente (CNIS, PPP, CTSM, CTC, carta, laudo, procuração...).</w:t>
      </w:r>
      <w:r/>
    </w:p>
    <w:p>
      <w:pPr>
        <w:pStyle w:val="739"/>
        <w:pBdr/>
        <w:spacing/>
        <w:ind/>
        <w:rPr/>
      </w:pPr>
      <w:r>
        <w:t xml:space="preserve">Leitura automática (documentos que mudam o cálculo)</w:t>
      </w:r>
      <w:r/>
    </w:p>
    <w:p>
      <w:pPr>
        <w:pBdr/>
        <w:spacing w:after="130" w:line="282" w:lineRule="auto"/>
        <w:ind/>
        <w:rPr/>
      </w:pPr>
      <w:r>
        <w:t xml:space="preserve">Para PPP, CTSM e CTC, os botões "Ler e..." baixam o documento, leem o conteúdo (com OCR se for escaneado) e PRÉ-PREENCHEM o formulário de conferência. A coluna "Extraído" mostra o que foi lido.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700"/>
        <w:gridCol w:w="7326"/>
      </w:tblGrid>
      <w:tr>
        <w:trPr>
          <w:tblHeader/>
        </w:trPr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17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b/>
                <w:bCs/>
                <w:color w:val="ffffff"/>
              </w:rPr>
              <w:t xml:space="preserve">Documento</w:t>
            </w:r>
            <w:r/>
          </w:p>
        </w:tc>
        <w:tc>
          <w:tcPr>
            <w:shd w:val="clear" w:color="auto" w:fill="1f386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73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b/>
                <w:bCs/>
                <w:color w:val="ffffff"/>
              </w:rPr>
              <w:t xml:space="preserve">O que o sistema faz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17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</w:rPr>
              <w:t xml:space="preserve">PPP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73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</w:rPr>
              <w:t xml:space="preserve">"Ler e vincular especial": lê o agente nocivo, o grau e o período, e marca o período como especial (habilita a conversão).</w:t>
            </w:r>
            <w:r/>
          </w:p>
        </w:tc>
      </w:tr>
      <w:tr>
        <w:trPr/>
        <w:tc>
          <w:tcPr>
            <w:shd w:val="clear" w:color="auto" w:fill="f2f5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17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</w:rPr>
              <w:t xml:space="preserve">CTSM (militar)</w:t>
            </w:r>
            <w:r/>
          </w:p>
        </w:tc>
        <w:tc>
          <w:tcPr>
            <w:shd w:val="clear" w:color="auto" w:fill="f2f5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73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</w:rPr>
              <w:t xml:space="preserve">"Ler e criar período militar": cria o período militar (conta como tempo, não como carência). Se a declaração só traz a duração, você informa as datas.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17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</w:rPr>
              <w:t xml:space="preserve">CTC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73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</w:rPr>
              <w:t xml:space="preserve">"Ler e registrar períodos": lê o período certificado de outro regime (averbação).</w:t>
            </w:r>
            <w:r/>
          </w:p>
        </w:tc>
      </w:tr>
      <w:tr>
        <w:trPr/>
        <w:tc>
          <w:tcPr>
            <w:shd w:val="clear" w:color="auto" w:fill="f2f5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17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</w:rPr>
              <w:t xml:space="preserve">Outros</w:t>
            </w:r>
            <w:r/>
          </w:p>
        </w:tc>
        <w:tc>
          <w:tcPr>
            <w:shd w:val="clear" w:color="auto" w:fill="f2f5f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10" w:type="dxa"/>
              <w:top w:w="60" w:type="dxa"/>
              <w:right w:w="110" w:type="dxa"/>
              <w:bottom w:w="60" w:type="dxa"/>
            </w:tcMar>
            <w:tcW w:w="73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b w:val="0"/>
                <w:bCs w:val="0"/>
              </w:rPr>
              <w:t xml:space="preserve">Ficam guardados como prova (só arquivo).</w:t>
            </w:r>
            <w:r/>
          </w:p>
        </w:tc>
      </w:tr>
    </w:tbl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26"/>
      </w:tblGrid>
      <w:tr>
        <w:trPr/>
        <w:tc>
          <w:tcPr>
            <w:shd w:val="clear" w:color="auto" w:fill="f2f5fa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tcMar>
              <w:left w:w="200" w:type="dxa"/>
              <w:top w:w="300" w:type="dxa"/>
              <w:right w:w="200" w:type="dxa"/>
              <w:bottom w:w="300" w:type="dxa"/>
            </w:tcMar>
            <w:tcW w:w="9026" w:type="dxa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rPr>
                <w:b/>
                <w:bCs/>
                <w:color w:val="1f3864"/>
              </w:rPr>
              <w:t xml:space="preserve">📷 Figura 5 — Aba Arquivos (documentos, classificação, coluna Extraído)</w:t>
            </w:r>
            <w:r>
              <w:br/>
              <w:t xml:space="preserve">
</w:t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731510" cy="2073502"/>
                      <wp:effectExtent l="0" t="0" r="0" b="0"/>
                      <wp:docPr id="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312093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731509" cy="207350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width:451.30pt;height:163.27pt;mso-wrap-distance-left:0.00pt;mso-wrap-distance-top:0.00pt;mso-wrap-distance-right:0.00pt;mso-wrap-distance-bottom:0.00pt;z-index:1;" stroked="false">
                      <v:imagedata r:id="rId14" o:title=""/>
                      <o:lock v:ext="edit" rotation="t"/>
                    </v:shape>
                  </w:pict>
                </mc:Fallback>
              </mc:AlternateContent>
            </w:r>
            <w:r/>
            <w:r>
              <w:rPr>
                <w:i/>
                <w:iCs/>
                <w:color w:val="595959"/>
                <w:sz w:val="18"/>
                <w:szCs w:val="18"/>
              </w:rPr>
            </w:r>
            <w:r/>
          </w:p>
        </w:tc>
      </w:tr>
    </w:tbl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26"/>
      </w:tblGrid>
      <w:tr>
        <w:trPr/>
        <w:tc>
          <w:tcPr>
            <w:shd w:val="clear" w:color="auto" w:fill="eef2f8"/>
            <w:tcBorders>
              <w:top w:val="single" w:color="cccccc" w:sz="1" w:space="0"/>
              <w:left w:val="single" w:color="1f3864" w:sz="18" w:space="0"/>
              <w:bottom w:val="single" w:color="cccccc" w:sz="1" w:space="0"/>
              <w:right w:val="single" w:color="cccccc" w:sz="1" w:space="0"/>
            </w:tcBorders>
            <w:tcMar>
              <w:left w:w="200" w:type="dxa"/>
              <w:top w:w="120" w:type="dxa"/>
              <w:right w:w="160" w:type="dxa"/>
              <w:bottom w:w="120" w:type="dxa"/>
            </w:tcMar>
            <w:tcW w:w="9026" w:type="dxa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b/>
                <w:bCs/>
              </w:rPr>
              <w:t xml:space="preserve">Regra de ouro: </w:t>
            </w:r>
            <w:r>
              <w:t xml:space="preserve">a leitura automática é uma SUGESTÃO. Sempre confira as datas e o grau na tela antes de confirmar — principalmente em PDFs de formulário, onde a ordem do texto pode confundir o leitor.</w:t>
            </w:r>
            <w:r/>
          </w:p>
        </w:tc>
      </w:tr>
    </w:tbl>
    <w:p>
      <w:pPr>
        <w:pStyle w:val="738"/>
        <w:pBdr/>
        <w:spacing/>
        <w:ind/>
        <w:rPr/>
      </w:pPr>
      <w:r>
        <w:t xml:space="preserve">7. Aba Cenários</w:t>
      </w:r>
      <w:r/>
    </w:p>
    <w:p>
      <w:pPr>
        <w:pBdr/>
        <w:spacing w:after="130" w:line="282" w:lineRule="auto"/>
        <w:ind/>
        <w:rPr/>
      </w:pPr>
      <w:r>
        <w:t xml:space="preserve">O coração da análise. Clique em </w:t>
      </w:r>
      <w:r>
        <w:rPr>
          <w:b/>
          <w:bCs/>
        </w:rPr>
        <w:t xml:space="preserve">"Gerar grade padrão"</w:t>
      </w:r>
      <w:r>
        <w:t xml:space="preserve"> e o sistema monta as opções de aposentadoria — cada uma num card com data de implemento (DIB), idade, TC, carência, RMI (valor), coeficiente, descartes e ROI líquido.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26"/>
      </w:tblGrid>
      <w:tr>
        <w:trPr/>
        <w:tc>
          <w:tcPr>
            <w:shd w:val="clear" w:color="auto" w:fill="f2f5fa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tcMar>
              <w:left w:w="200" w:type="dxa"/>
              <w:top w:w="300" w:type="dxa"/>
              <w:right w:w="200" w:type="dxa"/>
              <w:bottom w:w="300" w:type="dxa"/>
            </w:tcMar>
            <w:tcW w:w="9026" w:type="dxa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rPr>
                <w:b/>
                <w:bCs/>
                <w:color w:val="1f3864"/>
              </w:rPr>
              <w:t xml:space="preserve">📷 Figura 6 — Aba Cenários — grade de cenários</w:t>
            </w:r>
            <w:r>
              <w:br/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731510" cy="2321497"/>
                      <wp:effectExtent l="0" t="0" r="0" b="0"/>
                      <wp:docPr id="6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1289765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731509" cy="232149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" o:spid="_x0000_s5" type="#_x0000_t75" style="width:451.30pt;height:182.80pt;mso-wrap-distance-left:0.00pt;mso-wrap-distance-top:0.00pt;mso-wrap-distance-right:0.00pt;mso-wrap-distance-bottom:0.00pt;z-index:1;" stroked="false">
                      <v:imagedata r:id="rId15" o:title=""/>
                      <o:lock v:ext="edit" rotation="t"/>
                    </v:shape>
                  </w:pict>
                </mc:Fallback>
              </mc:AlternateContent>
            </w:r>
            <w:r/>
            <w:r>
              <w:rPr>
                <w:i/>
                <w:iCs/>
                <w:color w:val="595959"/>
                <w:sz w:val="18"/>
                <w:szCs w:val="18"/>
              </w:rPr>
            </w:r>
            <w:r/>
          </w:p>
        </w:tc>
      </w:tr>
    </w:tbl>
    <w:p>
      <w:pPr>
        <w:pStyle w:val="739"/>
        <w:pBdr/>
        <w:spacing/>
        <w:ind/>
        <w:rPr/>
      </w:pPr>
      <w:r>
        <w:t xml:space="preserve">Regras avançadas (dropdowns)</w:t>
      </w:r>
      <w:r/>
    </w:p>
    <w:p>
      <w:pPr>
        <w:pStyle w:val="730"/>
        <w:numPr>
          <w:ilvl w:val="0"/>
          <w:numId w:val="2"/>
        </w:numPr>
        <w:pBdr/>
        <w:spacing w:after="70" w:line="282" w:lineRule="auto"/>
        <w:ind/>
        <w:rPr/>
      </w:pPr>
      <w:r>
        <w:rPr>
          <w:b/>
          <w:bCs/>
        </w:rPr>
        <w:t xml:space="preserve">Atividade especial: </w:t>
      </w:r>
      <w:r>
        <w:t xml:space="preserve">grau 25/20/15 conforme o risco. Não precisa marcar se já subiu o PPP — ele faz isso sozinho. É um override manual.</w:t>
      </w:r>
      <w:r/>
    </w:p>
    <w:p>
      <w:pPr>
        <w:pStyle w:val="730"/>
        <w:numPr>
          <w:ilvl w:val="0"/>
          <w:numId w:val="2"/>
        </w:numPr>
        <w:pBdr/>
        <w:spacing w:after="70" w:line="282" w:lineRule="auto"/>
        <w:ind/>
        <w:rPr/>
      </w:pPr>
      <w:r>
        <w:rPr>
          <w:b/>
          <w:bCs/>
        </w:rPr>
        <w:t xml:space="preserve">Professor: </w:t>
      </w:r>
      <w:r>
        <w:t xml:space="preserve">aplica as regras de magistério (requisitos reduzidos em 5 anos). Marque só se o cliente for professor.</w:t>
      </w:r>
      <w:r/>
    </w:p>
    <w:p>
      <w:pPr>
        <w:pStyle w:val="730"/>
        <w:numPr>
          <w:ilvl w:val="0"/>
          <w:numId w:val="2"/>
        </w:numPr>
        <w:pBdr/>
        <w:spacing w:after="70" w:line="282" w:lineRule="auto"/>
        <w:ind/>
        <w:rPr/>
      </w:pPr>
      <w:r>
        <w:rPr>
          <w:b/>
          <w:bCs/>
        </w:rPr>
        <w:t xml:space="preserve">PCD (LC 142/2013): </w:t>
      </w:r>
      <w:r>
        <w:t xml:space="preserve">grau grave/moderada/leve, a partir do laudo médico. Reduz o tempo E melhora a RMI (100% da média no caso por TC).</w:t>
      </w:r>
      <w:r/>
    </w:p>
    <w:p>
      <w:pPr>
        <w:pStyle w:val="739"/>
        <w:pBdr/>
        <w:spacing/>
        <w:ind/>
        <w:rPr/>
      </w:pPr>
      <w:r>
        <w:t xml:space="preserve">Dupla opinião — RPPS</w:t>
      </w:r>
      <w:r/>
    </w:p>
    <w:p>
      <w:pPr>
        <w:pBdr/>
        <w:spacing w:after="130" w:line="282" w:lineRule="auto"/>
        <w:ind/>
        <w:rPr/>
      </w:pPr>
      <w:r>
        <w:t xml:space="preserve">No rodapé, o painel RPPS avalia as regras do Regime Próprio (Estado de SP) lado a lado com o INSS, e simula a averbação de tempo por CTC entre os regimes.</w:t>
      </w:r>
      <w:r/>
    </w:p>
    <w:p>
      <w:pPr>
        <w:pStyle w:val="739"/>
        <w:pBdr/>
        <w:spacing/>
        <w:ind/>
        <w:rPr/>
      </w:pPr>
      <w:r>
        <w:t xml:space="preserve">Seleção e ROI</w:t>
      </w:r>
      <w:r/>
    </w:p>
    <w:p>
      <w:pPr>
        <w:pStyle w:val="730"/>
        <w:numPr>
          <w:ilvl w:val="0"/>
          <w:numId w:val="4"/>
        </w:numPr>
        <w:pBdr/>
        <w:spacing w:after="80" w:line="282" w:lineRule="auto"/>
        <w:ind/>
        <w:rPr/>
      </w:pPr>
      <w:r>
        <w:t xml:space="preserve">Marque o checkbox "Selecionar" nos cenários que vão para o cliente (viram Doc 2.0, 3.0...).</w:t>
      </w:r>
      <w:r/>
    </w:p>
    <w:p>
      <w:pPr>
        <w:pStyle w:val="730"/>
        <w:numPr>
          <w:ilvl w:val="0"/>
          <w:numId w:val="4"/>
        </w:numPr>
        <w:pBdr/>
        <w:spacing w:after="80" w:line="282" w:lineRule="auto"/>
        <w:ind/>
        <w:rPr/>
      </w:pPr>
      <w:r>
        <w:t xml:space="preserve">Clique em "Salvar cenários".</w:t>
      </w:r>
      <w:r/>
    </w:p>
    <w:p>
      <w:pPr>
        <w:pStyle w:val="730"/>
        <w:numPr>
          <w:ilvl w:val="0"/>
          <w:numId w:val="4"/>
        </w:numPr>
        <w:pBdr/>
        <w:spacing w:after="80" w:line="282" w:lineRule="auto"/>
        <w:ind/>
        <w:rPr/>
      </w:pPr>
      <w:r>
        <w:t xml:space="preserve">O comparativo de ROI encadeado aponta o cenário mais vantajoso.</w:t>
      </w:r>
      <w:r/>
    </w:p>
    <w:p>
      <w:pPr>
        <w:pStyle w:val="738"/>
        <w:pBdr/>
        <w:spacing/>
        <w:ind/>
        <w:rPr/>
      </w:pPr>
      <w:r>
        <w:t xml:space="preserve">8. Aba Documentos</w:t>
      </w:r>
      <w:r/>
    </w:p>
    <w:p>
      <w:pPr>
        <w:pBdr/>
        <w:spacing w:after="130" w:line="282" w:lineRule="auto"/>
        <w:ind/>
        <w:rPr/>
      </w:pPr>
      <w:r>
        <w:t xml:space="preserve">Gera os entregáveis no padrão do escritório, a partir dos cenários selecionados:</w:t>
      </w:r>
      <w:r/>
    </w:p>
    <w:p>
      <w:pPr>
        <w:pStyle w:val="730"/>
        <w:numPr>
          <w:ilvl w:val="0"/>
          <w:numId w:val="2"/>
        </w:numPr>
        <w:pBdr/>
        <w:spacing w:after="70" w:line="282" w:lineRule="auto"/>
        <w:ind/>
        <w:rPr/>
      </w:pPr>
      <w:r>
        <w:rPr>
          <w:b/>
          <w:bCs/>
        </w:rPr>
        <w:t xml:space="preserve">Doc 1.0: </w:t>
      </w:r>
      <w:r>
        <w:t xml:space="preserve">contagem do tempo de contribuição até 12/11/2019 (impressão).</w:t>
      </w:r>
      <w:r/>
    </w:p>
    <w:p>
      <w:pPr>
        <w:pStyle w:val="730"/>
        <w:numPr>
          <w:ilvl w:val="0"/>
          <w:numId w:val="2"/>
        </w:numPr>
        <w:pBdr/>
        <w:spacing w:after="70" w:line="282" w:lineRule="auto"/>
        <w:ind/>
        <w:rPr/>
      </w:pPr>
      <w:r>
        <w:rPr>
          <w:b/>
          <w:bCs/>
        </w:rPr>
        <w:t xml:space="preserve">Doc X.0 / X.1: </w:t>
      </w:r>
      <w:r>
        <w:t xml:space="preserve">contagem do cenário e valor da aposentadoria (RMI), por cenário selecionado.</w:t>
      </w:r>
      <w:r/>
    </w:p>
    <w:p>
      <w:pPr>
        <w:pStyle w:val="730"/>
        <w:numPr>
          <w:ilvl w:val="0"/>
          <w:numId w:val="2"/>
        </w:numPr>
        <w:pBdr/>
        <w:spacing w:after="70" w:line="282" w:lineRule="auto"/>
        <w:ind/>
        <w:rPr/>
      </w:pPr>
      <w:r>
        <w:rPr>
          <w:b/>
          <w:bCs/>
        </w:rPr>
        <w:t xml:space="preserve">Parecer Previdenciário (.docx): </w:t>
      </w:r>
      <w:r>
        <w:t xml:space="preserve">parecer completo no padrão da casa.</w:t>
      </w:r>
      <w:r/>
    </w:p>
    <w:p>
      <w:pPr>
        <w:pStyle w:val="730"/>
        <w:numPr>
          <w:ilvl w:val="0"/>
          <w:numId w:val="2"/>
        </w:numPr>
        <w:pBdr/>
        <w:spacing w:after="70" w:line="282" w:lineRule="auto"/>
        <w:ind/>
        <w:rPr/>
      </w:pPr>
      <w:r>
        <w:rPr>
          <w:b/>
          <w:bCs/>
        </w:rPr>
        <w:t xml:space="preserve">Planilha ROI (.xlsx): </w:t>
      </w:r>
      <w:r>
        <w:t xml:space="preserve">comparativo de retorno dos cenários.</w:t>
      </w:r>
      <w:r/>
    </w:p>
    <w:p>
      <w:pPr>
        <w:pStyle w:val="730"/>
        <w:numPr>
          <w:ilvl w:val="0"/>
          <w:numId w:val="2"/>
        </w:numPr>
        <w:pBdr/>
        <w:spacing w:after="70" w:line="282" w:lineRule="auto"/>
        <w:ind/>
        <w:rPr/>
      </w:pPr>
      <w:r>
        <w:rPr>
          <w:b/>
          <w:bCs/>
        </w:rPr>
        <w:t xml:space="preserve">Resumo de Atendimento: </w:t>
      </w:r>
      <w:r>
        <w:t xml:space="preserve">o e-mail pós-reunião (simulações a/b/c, comparativos, pendências, documentos a providenciar e proposta) — texto copiável + .docx.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26"/>
      </w:tblGrid>
      <w:tr>
        <w:trPr/>
        <w:tc>
          <w:tcPr>
            <w:shd w:val="clear" w:color="auto" w:fill="f2f5fa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tcMar>
              <w:left w:w="200" w:type="dxa"/>
              <w:top w:w="300" w:type="dxa"/>
              <w:right w:w="200" w:type="dxa"/>
              <w:bottom w:w="300" w:type="dxa"/>
            </w:tcMar>
            <w:tcW w:w="9026" w:type="dxa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rPr>
                <w:b/>
                <w:bCs/>
                <w:color w:val="1f3864"/>
              </w:rPr>
              <w:t xml:space="preserve">📷 Figura 7 — Aba Documentos</w:t>
            </w:r>
            <w:r>
              <w:br/>
              <w:t xml:space="preserve">
</w:t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731510" cy="4370603"/>
                      <wp:effectExtent l="0" t="0" r="0" b="0"/>
                      <wp:docPr id="7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4470394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731509" cy="437060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" o:spid="_x0000_s6" type="#_x0000_t75" style="width:451.30pt;height:344.14pt;mso-wrap-distance-left:0.00pt;mso-wrap-distance-top:0.00pt;mso-wrap-distance-right:0.00pt;mso-wrap-distance-bottom:0.00pt;z-index:1;" stroked="false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/>
            <w:r>
              <w:rPr>
                <w:i/>
                <w:iCs/>
                <w:color w:val="595959"/>
                <w:sz w:val="18"/>
                <w:szCs w:val="18"/>
              </w:rPr>
            </w:r>
            <w:r/>
          </w:p>
        </w:tc>
      </w:tr>
    </w:tbl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26"/>
      </w:tblGrid>
      <w:tr>
        <w:trPr/>
        <w:tc>
          <w:tcPr>
            <w:shd w:val="clear" w:color="auto" w:fill="eef2f8"/>
            <w:tcBorders>
              <w:top w:val="single" w:color="cccccc" w:sz="1" w:space="0"/>
              <w:left w:val="single" w:color="1f3864" w:sz="18" w:space="0"/>
              <w:bottom w:val="single" w:color="cccccc" w:sz="1" w:space="0"/>
              <w:right w:val="single" w:color="cccccc" w:sz="1" w:space="0"/>
            </w:tcBorders>
            <w:tcMar>
              <w:left w:w="200" w:type="dxa"/>
              <w:top w:w="120" w:type="dxa"/>
              <w:right w:w="160" w:type="dxa"/>
              <w:bottom w:w="120" w:type="dxa"/>
            </w:tcMar>
            <w:tcW w:w="9026" w:type="dxa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b/>
                <w:bCs/>
              </w:rPr>
              <w:t xml:space="preserve">Selo MINUTA: </w:t>
            </w:r>
            <w:r>
              <w:t xml:space="preserve">todo documento sai marcado como "MINUTA — requer conferência do advogado" até o caso ser aprovado. Sempre revise antes de entregar.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p>
      <w:pPr>
        <w:pStyle w:val="738"/>
        <w:pBdr/>
        <w:spacing/>
        <w:ind/>
        <w:rPr/>
      </w:pPr>
      <w:r>
        <w:t xml:space="preserve">9. Conceitos previdenciários no sistema</w:t>
      </w:r>
      <w:r/>
    </w:p>
    <w:p>
      <w:pPr>
        <w:pStyle w:val="739"/>
        <w:pBdr/>
        <w:spacing/>
        <w:ind/>
        <w:rPr/>
      </w:pPr>
      <w:r>
        <w:t xml:space="preserve">Atividade especial e grau</w:t>
      </w:r>
      <w:r/>
    </w:p>
    <w:p>
      <w:pPr>
        <w:pBdr/>
        <w:spacing w:after="130" w:line="282" w:lineRule="auto"/>
        <w:ind/>
        <w:rPr/>
      </w:pPr>
      <w:r>
        <w:t xml:space="preserve">O grau é o nível de risco: </w:t>
      </w:r>
      <w:r>
        <w:rPr>
          <w:b/>
          <w:bCs/>
        </w:rPr>
        <w:t xml:space="preserve">25 anos</w:t>
      </w:r>
      <w:r>
        <w:t xml:space="preserve"> (risco padrão, ex. ruído; converte ×1,4 H / ×1,2 M), </w:t>
      </w:r>
      <w:r>
        <w:rPr>
          <w:b/>
          <w:bCs/>
        </w:rPr>
        <w:t xml:space="preserve">20 anos</w:t>
      </w:r>
      <w:r>
        <w:t xml:space="preserve"> (×1,75 / ×1,5) e </w:t>
      </w:r>
      <w:r>
        <w:rPr>
          <w:b/>
          <w:bCs/>
        </w:rPr>
        <w:t xml:space="preserve">15 anos</w:t>
      </w:r>
      <w:r>
        <w:t xml:space="preserve"> (risco máximo, ex. mineração subterrânea; ×2,33 / ×2,0). Quanto MENOR o grau, mais perigosa a atividade — menos tempo exigido e maior conversão. O tempo especial até 12/11/2019 entra CONVERTIDO no tempo comum (art. 25, §2º, EC 103).</w:t>
      </w:r>
      <w:r/>
    </w:p>
    <w:p>
      <w:pPr>
        <w:pStyle w:val="739"/>
        <w:pBdr/>
        <w:spacing/>
        <w:ind/>
        <w:rPr/>
      </w:pPr>
      <w:r>
        <w:t xml:space="preserve">Professor</w:t>
      </w:r>
      <w:r/>
    </w:p>
    <w:p>
      <w:pPr>
        <w:pBdr/>
        <w:spacing w:after="130" w:line="282" w:lineRule="auto"/>
        <w:ind/>
        <w:rPr/>
      </w:pPr>
      <w:r>
        <w:t xml:space="preserve">Magistério na educação básica: requisitos reduzidos em 5 anos (TC, pontos, idade). Muda QUANDO o cliente se aposenta, não quanto recebe.</w:t>
      </w:r>
      <w:r/>
    </w:p>
    <w:p>
      <w:pPr>
        <w:pStyle w:val="739"/>
        <w:pBdr/>
        <w:spacing/>
        <w:ind/>
        <w:rPr/>
      </w:pPr>
      <w:r>
        <w:t xml:space="preserve">PCD (LC 142/2013)</w:t>
      </w:r>
      <w:r/>
    </w:p>
    <w:p>
      <w:pPr>
        <w:pBdr/>
        <w:spacing w:after="130" w:line="282" w:lineRule="auto"/>
        <w:ind/>
        <w:rPr/>
      </w:pPr>
      <w:r>
        <w:t xml:space="preserve">Pessoa com deficiência: tempo reduzido por grau, sem idade mínima no caso por TC, e RMI de 100% da média. Muda QUANDO e QUANTO. Depende de laudo médico.</w:t>
      </w:r>
      <w:r/>
    </w:p>
    <w:p>
      <w:pPr>
        <w:pStyle w:val="739"/>
        <w:pBdr/>
        <w:spacing/>
        <w:ind/>
        <w:rPr/>
      </w:pPr>
      <w:r>
        <w:t xml:space="preserve">CTC e tempo militar</w:t>
      </w:r>
      <w:r/>
    </w:p>
    <w:p>
      <w:pPr>
        <w:pBdr/>
        <w:spacing w:after="130" w:line="282" w:lineRule="auto"/>
        <w:ind/>
        <w:rPr/>
      </w:pPr>
      <w:r>
        <w:t xml:space="preserve">A CTC averba tempo de outro regime (ex.: RPPS) na contagem. O tempo militar conta para tempo de contribuição, mas NÃO para carência.</w:t>
      </w:r>
      <w:r/>
    </w:p>
    <w:p>
      <w:pPr>
        <w:pStyle w:val="738"/>
        <w:pBdr/>
        <w:spacing/>
        <w:ind/>
        <w:rPr/>
      </w:pPr>
      <w:r>
        <w:t xml:space="preserve">10. Regras de ouro e cuidados</w:t>
      </w:r>
      <w:r/>
    </w:p>
    <w:p>
      <w:pPr>
        <w:pStyle w:val="730"/>
        <w:numPr>
          <w:ilvl w:val="0"/>
          <w:numId w:val="2"/>
        </w:numPr>
        <w:pBdr/>
        <w:spacing w:after="70" w:line="282" w:lineRule="auto"/>
        <w:ind/>
        <w:rPr/>
      </w:pPr>
      <w:r>
        <w:rPr>
          <w:b/>
          <w:bCs/>
        </w:rPr>
        <w:t xml:space="preserve">Confira as sugestões: </w:t>
      </w:r>
      <w:r>
        <w:t xml:space="preserve">a leitura automática propõe; você decide. Sempre verifique datas e graus antes de confirmar.</w:t>
      </w:r>
      <w:r/>
    </w:p>
    <w:p>
      <w:pPr>
        <w:pStyle w:val="730"/>
        <w:numPr>
          <w:ilvl w:val="0"/>
          <w:numId w:val="2"/>
        </w:numPr>
        <w:pBdr/>
        <w:spacing w:after="70" w:line="282" w:lineRule="auto"/>
        <w:ind/>
        <w:rPr/>
      </w:pPr>
      <w:r>
        <w:rPr>
          <w:b/>
          <w:bCs/>
        </w:rPr>
        <w:t xml:space="preserve">Selo MINUTA: </w:t>
      </w:r>
      <w:r>
        <w:t xml:space="preserve">revise todo documento antes de entregar ao cliente.</w:t>
      </w:r>
      <w:r/>
    </w:p>
    <w:p>
      <w:pPr>
        <w:pStyle w:val="730"/>
        <w:numPr>
          <w:ilvl w:val="0"/>
          <w:numId w:val="2"/>
        </w:numPr>
        <w:pBdr/>
        <w:spacing w:after="70" w:line="282" w:lineRule="auto"/>
        <w:ind/>
        <w:rPr/>
      </w:pPr>
      <w:r>
        <w:rPr>
          <w:b/>
          <w:bCs/>
        </w:rPr>
        <w:t xml:space="preserve">Dupla execução: </w:t>
      </w:r>
      <w:r>
        <w:t xml:space="preserve">para validar um cálculo, compare com o resultado que o escritório já produziu para aquele cliente. Cada divergência é aprendizado.</w:t>
      </w:r>
      <w:r/>
    </w:p>
    <w:p>
      <w:pPr>
        <w:pStyle w:val="730"/>
        <w:numPr>
          <w:ilvl w:val="0"/>
          <w:numId w:val="2"/>
        </w:numPr>
        <w:pBdr/>
        <w:spacing w:after="70" w:line="282" w:lineRule="auto"/>
        <w:ind/>
        <w:rPr/>
      </w:pPr>
      <w:r>
        <w:rPr>
          <w:b/>
          <w:bCs/>
        </w:rPr>
        <w:t xml:space="preserve">LGPD: </w:t>
      </w:r>
      <w:r>
        <w:t xml:space="preserve">os dados ficam no sistema local; nunca use CNIS reais de terceiros em testes — use os documentos fictícios do kit de teste.</w:t>
      </w:r>
      <w:r/>
    </w:p>
    <w:p>
      <w:pPr>
        <w:pStyle w:val="730"/>
        <w:numPr>
          <w:ilvl w:val="0"/>
          <w:numId w:val="2"/>
        </w:numPr>
        <w:pBdr/>
        <w:spacing w:after="70" w:line="282" w:lineRule="auto"/>
        <w:ind/>
        <w:rPr/>
      </w:pPr>
      <w:r>
        <w:rPr>
          <w:b/>
          <w:bCs/>
        </w:rPr>
        <w:t xml:space="preserve">Números vêm do motor: </w:t>
      </w:r>
      <w:r>
        <w:t xml:space="preserve">se algo não bater, cheque a fonte de dados (o que foi conferido) antes de suspeitar do cálculo.</w:t>
      </w:r>
      <w:r/>
    </w:p>
    <w:p>
      <w:pPr>
        <w:pStyle w:val="738"/>
        <w:pBdr/>
        <w:spacing/>
        <w:ind/>
        <w:rPr/>
      </w:pPr>
      <w:r>
        <w:t xml:space="preserve">11. Se algo der errado</w:t>
      </w:r>
      <w:r/>
    </w:p>
    <w:p>
      <w:pPr>
        <w:pStyle w:val="730"/>
        <w:numPr>
          <w:ilvl w:val="0"/>
          <w:numId w:val="2"/>
        </w:numPr>
        <w:pBdr/>
        <w:spacing w:after="70" w:line="282" w:lineRule="auto"/>
        <w:ind/>
        <w:rPr/>
      </w:pPr>
      <w:r>
        <w:rPr>
          <w:b/>
          <w:bCs/>
        </w:rPr>
        <w:t xml:space="preserve">TC impossível (maior que a idade): </w:t>
      </w:r>
      <w:r>
        <w:t xml:space="preserve">quase sempre é um período com datas erradas. Vá na aba CNIS/Dados, confira a lista de períodos e corrija o período problemático (mude o status para "coleta" para editar).</w:t>
      </w:r>
      <w:r/>
    </w:p>
    <w:p>
      <w:pPr>
        <w:pStyle w:val="730"/>
        <w:numPr>
          <w:ilvl w:val="0"/>
          <w:numId w:val="2"/>
        </w:numPr>
        <w:pBdr/>
        <w:spacing w:after="70" w:line="282" w:lineRule="auto"/>
        <w:ind/>
        <w:rPr/>
      </w:pPr>
      <w:r>
        <w:rPr>
          <w:b/>
          <w:bCs/>
        </w:rPr>
        <w:t xml:space="preserve">"Internal Server Error": </w:t>
      </w:r>
      <w:r>
        <w:t xml:space="preserve">cache corrompido — pare o servidor, apague a pasta apps/web/.next, rode npm install e suba de novo.</w:t>
      </w:r>
      <w:r/>
    </w:p>
    <w:p>
      <w:pPr>
        <w:pStyle w:val="730"/>
        <w:numPr>
          <w:ilvl w:val="0"/>
          <w:numId w:val="2"/>
        </w:numPr>
        <w:pBdr/>
        <w:spacing w:after="70" w:line="282" w:lineRule="auto"/>
        <w:ind/>
        <w:rPr/>
      </w:pPr>
      <w:r>
        <w:rPr>
          <w:b/>
          <w:bCs/>
        </w:rPr>
        <w:t xml:space="preserve">Cenário não gera: </w:t>
      </w:r>
      <w:r>
        <w:t xml:space="preserve">confirme o CNIS e preencha a carência atual na Auditoria — sem isso o cálculo não roda (proteção proposital).</w:t>
      </w:r>
      <w:r/>
    </w:p>
    <w:sectPr>
      <w:footerReference w:type="default" r:id="rId9"/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single" w:color="cccccc" w:sz="4" w:space="6"/>
      </w:pBdr>
      <w:spacing/>
      <w:ind/>
      <w:jc w:val="center"/>
      <w:rPr/>
    </w:pPr>
    <w:r>
      <w:rPr>
        <w:color w:val="595959"/>
        <w:sz w:val="16"/>
        <w:szCs w:val="16"/>
      </w:rPr>
      <w:t xml:space="preserve">Manual de Uso — Planejador Previdenciário MFAA · uso interno   |   pág.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280" w:left="54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00" w:left="54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00" w:left="54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">
    <w:name w:val="Table Grid"/>
    <w:basedOn w:val="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" w:default="1">
    <w:name w:val="Normal"/>
    <w:qFormat/>
    <w:pPr>
      <w:pBdr/>
      <w:spacing/>
      <w:ind/>
    </w:pPr>
  </w:style>
  <w:style w:type="paragraph" w:styleId="144">
    <w:name w:val="Heading 7"/>
    <w:basedOn w:val="137"/>
    <w:next w:val="137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137"/>
    <w:next w:val="137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137"/>
    <w:next w:val="137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numbering" w:styleId="148" w:default="1">
    <w:name w:val="No List"/>
    <w:uiPriority w:val="99"/>
    <w:semiHidden/>
    <w:unhideWhenUsed/>
    <w:pPr>
      <w:pBdr/>
      <w:spacing/>
      <w:ind/>
    </w:pPr>
  </w:style>
  <w:style w:type="character" w:styleId="149">
    <w:name w:val="Heading 1 Char"/>
    <w:basedOn w:val="147"/>
    <w:link w:val="7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7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7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72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7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72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">
    <w:name w:val="Title Char"/>
    <w:basedOn w:val="147"/>
    <w:link w:val="72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137"/>
    <w:next w:val="137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137"/>
    <w:next w:val="137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137"/>
    <w:next w:val="137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137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137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137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137"/>
    <w:next w:val="13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137"/>
    <w:next w:val="137"/>
    <w:uiPriority w:val="39"/>
    <w:unhideWhenUsed/>
    <w:pPr>
      <w:pBdr/>
      <w:spacing w:after="100"/>
      <w:ind/>
    </w:pPr>
  </w:style>
  <w:style w:type="paragraph" w:styleId="189">
    <w:name w:val="toc 2"/>
    <w:basedOn w:val="137"/>
    <w:next w:val="137"/>
    <w:uiPriority w:val="39"/>
    <w:unhideWhenUsed/>
    <w:pPr>
      <w:pBdr/>
      <w:spacing w:after="100"/>
      <w:ind w:left="220"/>
    </w:pPr>
  </w:style>
  <w:style w:type="paragraph" w:styleId="190">
    <w:name w:val="toc 3"/>
    <w:basedOn w:val="137"/>
    <w:next w:val="137"/>
    <w:uiPriority w:val="39"/>
    <w:unhideWhenUsed/>
    <w:pPr>
      <w:pBdr/>
      <w:spacing w:after="100"/>
      <w:ind w:left="440"/>
    </w:pPr>
  </w:style>
  <w:style w:type="paragraph" w:styleId="191">
    <w:name w:val="toc 4"/>
    <w:basedOn w:val="137"/>
    <w:next w:val="137"/>
    <w:uiPriority w:val="39"/>
    <w:unhideWhenUsed/>
    <w:pPr>
      <w:pBdr/>
      <w:spacing w:after="100"/>
      <w:ind w:left="660"/>
    </w:pPr>
  </w:style>
  <w:style w:type="paragraph" w:styleId="192">
    <w:name w:val="toc 5"/>
    <w:basedOn w:val="137"/>
    <w:next w:val="137"/>
    <w:uiPriority w:val="39"/>
    <w:unhideWhenUsed/>
    <w:pPr>
      <w:pBdr/>
      <w:spacing w:after="100"/>
      <w:ind w:left="880"/>
    </w:pPr>
  </w:style>
  <w:style w:type="paragraph" w:styleId="193">
    <w:name w:val="toc 6"/>
    <w:basedOn w:val="137"/>
    <w:next w:val="137"/>
    <w:uiPriority w:val="39"/>
    <w:unhideWhenUsed/>
    <w:pPr>
      <w:pBdr/>
      <w:spacing w:after="100"/>
      <w:ind w:left="1100"/>
    </w:pPr>
  </w:style>
  <w:style w:type="paragraph" w:styleId="194">
    <w:name w:val="toc 7"/>
    <w:basedOn w:val="137"/>
    <w:next w:val="137"/>
    <w:uiPriority w:val="39"/>
    <w:unhideWhenUsed/>
    <w:pPr>
      <w:pBdr/>
      <w:spacing w:after="100"/>
      <w:ind w:left="1320"/>
    </w:pPr>
  </w:style>
  <w:style w:type="paragraph" w:styleId="195">
    <w:name w:val="toc 8"/>
    <w:basedOn w:val="137"/>
    <w:next w:val="137"/>
    <w:uiPriority w:val="39"/>
    <w:unhideWhenUsed/>
    <w:pPr>
      <w:pBdr/>
      <w:spacing w:after="100"/>
      <w:ind w:left="1540"/>
    </w:pPr>
  </w:style>
  <w:style w:type="paragraph" w:styleId="196">
    <w:name w:val="toc 9"/>
    <w:basedOn w:val="137"/>
    <w:next w:val="137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147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137"/>
    <w:next w:val="137"/>
    <w:uiPriority w:val="99"/>
    <w:unhideWhenUsed/>
    <w:pPr>
      <w:pBdr/>
      <w:spacing w:after="0" w:afterAutospacing="0"/>
      <w:ind/>
    </w:pPr>
  </w:style>
  <w:style w:type="paragraph" w:styleId="722">
    <w:name w:val="Title"/>
    <w:qFormat/>
    <w:pPr>
      <w:pBdr/>
      <w:spacing/>
      <w:ind/>
    </w:pPr>
    <w:rPr>
      <w:sz w:val="56"/>
      <w:szCs w:val="56"/>
    </w:rPr>
  </w:style>
  <w:style w:type="paragraph" w:styleId="725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26">
    <w:name w:val="Heading 4"/>
    <w:qFormat/>
    <w:pPr>
      <w:pBdr/>
      <w:spacing/>
      <w:ind/>
    </w:pPr>
    <w:rPr>
      <w:i/>
      <w:iCs/>
      <w:color w:val="2e74b5"/>
    </w:rPr>
  </w:style>
  <w:style w:type="paragraph" w:styleId="727">
    <w:name w:val="Heading 5"/>
    <w:qFormat/>
    <w:pPr>
      <w:pBdr/>
      <w:spacing/>
      <w:ind/>
    </w:pPr>
    <w:rPr>
      <w:color w:val="2e74b5"/>
    </w:rPr>
  </w:style>
  <w:style w:type="paragraph" w:styleId="728">
    <w:name w:val="Heading 6"/>
    <w:qFormat/>
    <w:pPr>
      <w:pBdr/>
      <w:spacing/>
      <w:ind/>
    </w:pPr>
    <w:rPr>
      <w:color w:val="1f4d78"/>
    </w:rPr>
  </w:style>
  <w:style w:type="paragraph" w:styleId="729">
    <w:name w:val="Strong"/>
    <w:qFormat/>
    <w:pPr>
      <w:pBdr/>
      <w:spacing/>
      <w:ind/>
    </w:pPr>
    <w:rPr>
      <w:b/>
      <w:bCs/>
    </w:rPr>
  </w:style>
  <w:style w:type="paragraph" w:styleId="730">
    <w:name w:val="List Paragraph"/>
    <w:qFormat/>
    <w:pPr>
      <w:pBdr/>
      <w:spacing/>
      <w:ind/>
    </w:pPr>
  </w:style>
  <w:style w:type="character" w:styleId="731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32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33">
    <w:name w:val="footnote text"/>
    <w:link w:val="73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4">
    <w:name w:val="Footnote Text Char"/>
    <w:link w:val="733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35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36">
    <w:name w:val="endnote text"/>
    <w:link w:val="73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7">
    <w:name w:val="Endnote Text Char"/>
    <w:link w:val="736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38">
    <w:name w:val="Heading 1"/>
    <w:qFormat/>
    <w:pPr>
      <w:pBdr/>
      <w:spacing w:after="150" w:before="300"/>
      <w:ind/>
      <w:outlineLvl w:val="0"/>
    </w:pPr>
    <w:rPr>
      <w:rFonts w:ascii="Arial" w:hAnsi="Arial" w:eastAsia="Arial" w:cs="Arial"/>
      <w:b/>
      <w:bCs/>
      <w:color w:val="1f3864"/>
      <w:sz w:val="30"/>
      <w:szCs w:val="30"/>
    </w:rPr>
  </w:style>
  <w:style w:type="paragraph" w:styleId="739">
    <w:name w:val="Heading 2"/>
    <w:qFormat/>
    <w:pPr>
      <w:pBdr/>
      <w:spacing w:after="90" w:before="180"/>
      <w:ind/>
      <w:outlineLvl w:val="1"/>
    </w:pPr>
    <w:rPr>
      <w:rFonts w:ascii="Arial" w:hAnsi="Arial" w:eastAsia="Arial" w:cs="Arial"/>
      <w:b/>
      <w:bCs/>
      <w:color w:val="1f3864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ONLYOFFICE/9.0.3.29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2026-06-15T16:15:07Z</dcterms:created>
  <dcterms:modified xsi:type="dcterms:W3CDTF">2026-06-15T19:46:19Z</dcterms:modified>
</cp:coreProperties>
</file>