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80" w:before="1000"/>
      </w:pPr>
      <w:r>
        <w:rPr>
          <w:b/>
          <w:bCs/>
          <w:color w:val="1F3864"/>
          <w:sz w:val="46"/>
          <w:szCs w:val="46"/>
        </w:rPr>
        <w:t xml:space="preserve">Roteiro de Ensaio</w:t>
      </w:r>
    </w:p>
    <w:p>
      <w:pPr>
        <w:spacing w:after="80"/>
      </w:pPr>
      <w:r>
        <w:rPr>
          <w:color w:val="595959"/>
          <w:sz w:val="26"/>
          <w:szCs w:val="26"/>
        </w:rPr>
        <w:t xml:space="preserve">Documentos que alteram o cálculo — PPP, CTSM e CTC</w:t>
      </w:r>
    </w:p>
    <w:p>
      <w:pPr>
        <w:spacing w:after="360"/>
      </w:pPr>
      <w:r>
        <w:rPr>
          <w:i/>
          <w:iCs/>
          <w:color w:val="595959"/>
        </w:rPr>
        <w:t xml:space="preserve">Escritório Machado Filgueiras · aba Arquivos · junho/2026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Princípio que você precisa ter em mente: </w:t>
            </w:r>
            <w:r>
              <w:t xml:space="preserve">o sistema NÃO lê o conteúdo do PPP, CTSM ou CTC. Você lê o documento real e informa os dados (qual período, qual grau, quais datas). Por isso, faça o ensaio com o documento aberto ao lado, lendo dele os dados corretos.</w:t>
            </w:r>
          </w:p>
        </w:tc>
      </w:tr>
    </w:tbl>
    <w:p>
      <w:pPr>
        <w:pStyle w:val="Heading1"/>
      </w:pPr>
      <w:r>
        <w:t xml:space="preserve">1. Antes de começar</w:t>
      </w:r>
    </w:p>
    <w:p>
      <w:pPr>
        <w:spacing w:after="130" w:line="282"/>
      </w:pPr>
      <w:r>
        <w:t xml:space="preserve">Para um ensaio realista você precisa de três coisas: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Um caso real que tenha o documento. </w:t>
      </w:r>
      <w:r>
        <w:t xml:space="preserve">Cada tipo exige um perfil: PPP → cliente com atividade especial; CTSM → cliente que prestou serviço militar; CTC → cliente com tempo em outro regime (RPPS). Atenção: os casos Dulcimara e Gian não têm esses documentos (o Gian, por exemplo, não serviu o exército) — escolha um caso que realmente os tenha.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O CNIS do caso já conferido. </w:t>
      </w:r>
      <w:r>
        <w:t xml:space="preserve">Suba e confirme o CNIS na aba CNIS antes — os documentos a seguir agem sobre os períodos já conferidos.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O documento real em mãos </w:t>
      </w:r>
      <w:r>
        <w:t xml:space="preserve">(PDF ou foto), para ler os dados que você vai informar.</w:t>
      </w:r>
    </w:p>
    <w:p>
      <w:r>
        <w:br w:type="page"/>
      </w:r>
    </w:p>
    <w:p>
      <w:pPr>
        <w:pStyle w:val="Heading1"/>
      </w:pPr>
      <w:r>
        <w:t xml:space="preserve">2. Ensaio — PPP (atividade especial)</w:t>
      </w:r>
    </w:p>
    <w:p>
      <w:pPr>
        <w:spacing w:after="130" w:line="282"/>
      </w:pPr>
      <w:r>
        <w:t xml:space="preserve">O PPP comprova exposição a agente nocivo e habilita a </w:t>
      </w:r>
      <w:r>
        <w:rPr>
          <w:b/>
          <w:bCs/>
        </w:rPr>
        <w:t xml:space="preserve">conversão do tempo especial em comum</w:t>
      </w:r>
      <w:r>
        <w:t xml:space="preserve"> (apenas para períodos anteriores a 12/11/2019).</w:t>
      </w:r>
    </w:p>
    <w:p>
      <w:pPr>
        <w:pStyle w:val="Heading2"/>
      </w:pPr>
      <w:r>
        <w:t xml:space="preserve">Passos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Aba Arquivos → enviar o PPP real. Confirme que a classificação sugerida é "PPP".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Clique em "Vincular especial".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Leia no PPP a que período ele se refere e selecione esse período na lista.</w:t>
      </w:r>
    </w:p>
    <w:p>
      <w:pPr>
        <w:pStyle w:val="ListParagraph"/>
        <w:numPr>
          <w:ilvl w:val="0"/>
          <w:numId w:val="3"/>
        </w:numPr>
        <w:spacing w:after="80" w:line="282"/>
      </w:pPr>
      <w:r>
        <w:t xml:space="preserve">Informe o grau conforme o agente nocivo do PPP: 25 anos (comum), 20 ou 15 (mais gravoso). Confirme.</w:t>
      </w:r>
    </w:p>
    <w:p>
      <w:pPr>
        <w:pStyle w:val="Heading2"/>
      </w:pPr>
      <w:r>
        <w:t xml:space="preserve">O que observar (a conta deve mudar)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O período fica marcado como "especial" na conferência.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TC aumenta </w:t>
      </w:r>
      <w:r>
        <w:t xml:space="preserve">para os trechos especiais ANTERIORES a 12/11/2019 (conversão ×1,2 mulher / ×1,4 homem, no grau 25). Trechos POSTERIORES não convertem.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Na aba Cenários </w:t>
      </w:r>
      <w:r>
        <w:t xml:space="preserve">passam a aparecer as regras de aposentadoria especial: art. 21 (transição) e art. 19, §1º (permanente).</w:t>
      </w:r>
    </w:p>
    <w:p>
      <w:pPr>
        <w:pStyle w:val="Heading1"/>
      </w:pPr>
      <w:r>
        <w:t xml:space="preserve">3. Ensaio — CTSM (tempo de serviço militar)</w:t>
      </w:r>
    </w:p>
    <w:p>
      <w:pPr>
        <w:pStyle w:val="Heading2"/>
      </w:pPr>
      <w:r>
        <w:t xml:space="preserve">Passos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t xml:space="preserve">Aba Arquivos → enviar o CTSM real (classificação "CTSM (Militar)").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t xml:space="preserve">Clique em "Criar período militar".</w:t>
      </w:r>
    </w:p>
    <w:p>
      <w:pPr>
        <w:pStyle w:val="ListParagraph"/>
        <w:numPr>
          <w:ilvl w:val="0"/>
          <w:numId w:val="4"/>
        </w:numPr>
        <w:spacing w:after="80" w:line="282"/>
      </w:pPr>
      <w:r>
        <w:t xml:space="preserve">Digite início e fim lidos no certificado e confirme.</w:t>
      </w:r>
    </w:p>
    <w:p>
      <w:pPr>
        <w:pStyle w:val="Heading2"/>
      </w:pPr>
      <w:r>
        <w:t xml:space="preserve">O que observar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O tempo de contribuição (TC) sobe </w:t>
      </w:r>
      <w:r>
        <w:t xml:space="preserve">pelo período militar.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A carência NÃO sobe </w:t>
      </w:r>
      <w:r>
        <w:t xml:space="preserve">— o tempo militar conta para tempo, mas não para carência. Confira o campo de carência: deve permanecer igual.</w:t>
      </w:r>
    </w:p>
    <w:p>
      <w:pPr>
        <w:pStyle w:val="Heading1"/>
      </w:pPr>
      <w:r>
        <w:t xml:space="preserve">4. Ensaio — CTC (tempo certificado de outro regime)</w:t>
      </w:r>
    </w:p>
    <w:p>
      <w:pPr>
        <w:pStyle w:val="Heading2"/>
      </w:pPr>
      <w:r>
        <w:t xml:space="preserve">Passos</w:t>
      </w:r>
    </w:p>
    <w:p>
      <w:pPr>
        <w:pStyle w:val="ListParagraph"/>
        <w:numPr>
          <w:ilvl w:val="0"/>
          <w:numId w:val="5"/>
        </w:numPr>
        <w:spacing w:after="80" w:line="282"/>
      </w:pPr>
      <w:r>
        <w:t xml:space="preserve">Aba Arquivos → enviar a CTC real (classificação "CTC").</w:t>
      </w:r>
    </w:p>
    <w:p>
      <w:pPr>
        <w:pStyle w:val="ListParagraph"/>
        <w:numPr>
          <w:ilvl w:val="0"/>
          <w:numId w:val="5"/>
        </w:numPr>
        <w:spacing w:after="80" w:line="282"/>
      </w:pPr>
      <w:r>
        <w:t xml:space="preserve">Registre os períodos certificados (digite início/fim de cada um) e confirme.</w:t>
      </w:r>
    </w:p>
    <w:p>
      <w:pPr>
        <w:pStyle w:val="Heading2"/>
      </w:pPr>
      <w:r>
        <w:t xml:space="preserve">O que observar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t xml:space="preserve">Os períodos certificados entram na contagem do caso.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b/>
          <w:bCs/>
        </w:rPr>
        <w:t xml:space="preserve">Para o uso completo </w:t>
      </w:r>
      <w:r>
        <w:t xml:space="preserve">(averbação entre regimes), confira também o painel RPPS na aba Cenários — modo "dupla opinião" e simulação de CTC entre RGPS e RPPS.</w:t>
      </w:r>
    </w:p>
    <w:p>
      <w:r>
        <w:br w:type="page"/>
      </w:r>
    </w:p>
    <w:p>
      <w:pPr>
        <w:pStyle w:val="Heading1"/>
      </w:pPr>
      <w:r>
        <w:t xml:space="preserve">5. Como conferir se o cálculo está CERTO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Importante: </w:t>
            </w:r>
            <w:r>
              <w:t xml:space="preserve">neste ensaio com documentos reais não há um número de gabarito automático. A forma de validar a correção é a </w:t>
            </w:r>
          </w:p>
        </w:tc>
      </w:tr>
    </w:tbl>
    <w:p>
      <w:pPr>
        <w:spacing w:after="130" w:line="282"/>
      </w:pPr>
      <w:r>
        <w:rPr>
          <w:b/>
          <w:bCs/>
        </w:rPr>
        <w:t xml:space="preserve">Dupla execução. </w:t>
      </w:r>
      <w:r>
        <w:t xml:space="preserve">Rode o mesmo caso no sistema e compare o resultado com o cálculo que o escritório já fez para esse cliente (Prévius ou planilha manual). Os números devem bater (com a tolerância já conhecida). Toda divergência é valiosa: ou aponta um ajuste no sistema, ou revela um detalhe do documento que mudou a conta. Anote a divergência e me traga — ela vira um teste de regressão.</w:t>
      </w:r>
    </w:p>
    <w:p>
      <w:pPr>
        <w:spacing w:after="130" w:line="282"/>
      </w:pPr>
      <w:r>
        <w:rPr>
          <w:i/>
          <w:iCs/>
          <w:color w:val="595959"/>
        </w:rPr>
        <w:t xml:space="preserve">Dica: se quiser uma prova objetiva e isolada (sem precisar de documento real), peça o "kit de gabarito" — casos pequenos com o número antes/depois esperado calculado pelo motor. Os dois métodos se complementam.</w:t>
      </w:r>
    </w:p>
    <w:p>
      <w:pPr>
        <w:pStyle w:val="Heading1"/>
      </w:pPr>
      <w:r>
        <w:t xml:space="preserve">6. Checklist do ensaio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6"/>
        <w:gridCol w:w="900"/>
      </w:tblGrid>
      <w:tr>
        <w:trPr>
          <w:tblHeader/>
        </w:trP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Item de verificação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OK?</w:t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Escolhi um caso real que possui o documento (PPP/CTSM/CTC).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CNIS do caso já conferido antes de aplicar os documentos.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PPP: período marcado especial; TC subiu nos trechos pré-2019; regras art. 21/19§1º aparecem.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CTSM: período militar criado; TC subiu; carência permaneceu igual.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CTC: períodos certificados registrados na contagem.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Comparei o resultado final com o cálculo do escritório (dupla execução).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Anotei as divergências encontradas para virarem teste de regressão.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7. Resumo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1F3864" w:sz="18"/>
              <w:bottom w:val="single" w:color="CCCCCC" w:sz="1"/>
              <w:right w:val="single" w:color="CCCCCC" w:sz="1"/>
            </w:tcBorders>
            <w:shd w:fill="EEF2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t xml:space="preserve">Os documentos PPP/CTSM/CTC são </w:t>
            </w:r>
            <w:r>
              <w:rPr>
                <w:b/>
                <w:bCs/>
              </w:rPr>
              <w:t xml:space="preserve">prova que você arquiva</w:t>
            </w:r>
            <w:r>
              <w:t xml:space="preserve">, e os dados que mudam a conta são </w:t>
            </w:r>
            <w:r>
              <w:rPr>
                <w:b/>
                <w:bCs/>
              </w:rPr>
              <w:t xml:space="preserve">informados por você</w:t>
            </w:r>
            <w:r>
              <w:t xml:space="preserve"> lendo o documento. Para o ensaio realista, use os documentos reais de um caso que os tenha; para provar que a conta está certa, confira por </w:t>
            </w:r>
            <w:r>
              <w:rPr>
                <w:b/>
                <w:bCs/>
              </w:rPr>
              <w:t xml:space="preserve">dupla execução</w:t>
            </w:r>
            <w:r>
              <w:t xml:space="preserve"> contra o cálculo do escritório.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color w:val="595959"/>
        <w:sz w:val="16"/>
        <w:szCs w:val="16"/>
      </w:rPr>
      <w:t xml:space="preserve">Roteiro de Ensaio — Documentos que alteram o cálculo · uso interno   |  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2026-06-15T14:14:00.506Z</dcterms:created>
  <dcterms:modified xsi:type="dcterms:W3CDTF">2026-06-15T14:14:00.514Z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