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8"/>
              <w:left w:val="none" w:color="FFFFFF" w:sz="0"/>
              <w:bottom w:val="single" w:color="1F3864" w:sz="18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32"/>
                <w:szCs w:val="32"/>
              </w:rPr>
              <w:t xml:space="preserve">퇴직연금 AI 사후관리 에이전트 PoC 결과 보고</w:t>
            </w:r>
          </w:p>
        </w:tc>
      </w:tr>
    </w:tbl>
    <w:p>
      <w:pPr>
        <w:spacing w:after="0" w:before="80"/>
        <w:jc w:val="right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2026. 10.   WM고객그룹 WM AI COE</w:t>
      </w:r>
    </w:p>
    <w:p>
      <w:pPr>
        <w:spacing w:after="60"/>
        <w:jc w:val="right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권현진 과장 · 이선우 대리 · 정석희 대리</w:t>
      </w:r>
    </w:p>
    <w:p>
      <w:pPr>
        <w:pBdr>
          <w:bottom w:val="single" w:color="1F3864" w:sz="8" w:space="2"/>
        </w:pBdr>
        <w:spacing w:after="8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Ⅰ. 추진 개요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목적 : </w:t>
      </w:r>
      <w:r>
        <w:rPr>
          <w:rFonts w:ascii="맑은 고딕" w:cs="맑은 고딕" w:eastAsia="맑은 고딕" w:hAnsi="맑은 고딕"/>
        </w:rPr>
        <w:t xml:space="preserve">행내 환경에서 AI 에이전트가 실제로 작동하는지, 어디까지 구현 가능한지, 업무에 AI를 적용하려면 무엇이 필요한지 직접 확인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과제 : </w:t>
      </w:r>
      <w:r>
        <w:rPr>
          <w:rFonts w:ascii="맑은 고딕" w:cs="맑은 고딕" w:eastAsia="맑은 고딕" w:hAnsi="맑은 고딕"/>
        </w:rPr>
        <w:t xml:space="preserve">개인형IRP 보유 고객의 사후관리를 돕는 영업점 직원용 AI 에이전트 (PoC)</w:t>
      </w:r>
    </w:p>
    <w:p>
      <w:pPr>
        <w:pStyle w:val="ListParagraph"/>
        <w:numPr>
          <w:ilvl w:val="2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선정 이유 : 현금성자산 방치·원리금 편중·만기 후 미운용 등 사후관리 공백이 크고, 관련 행내 지식은 있으나 흩어져 있어 현장에 닿지 않음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추진 체계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기간 : </w:t>
      </w:r>
      <w:r>
        <w:rPr>
          <w:rFonts w:ascii="맑은 고딕" w:cs="맑은 고딕" w:eastAsia="맑은 고딕" w:hAnsi="맑은 고딕"/>
        </w:rPr>
        <w:t xml:space="preserve">2026. 7. 14.(화) ~ 10. 2.(금), 12주 (AI 교육 2주 + 프로젝트 10주)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인력 : </w:t>
      </w:r>
      <w:r>
        <w:rPr>
          <w:rFonts w:ascii="맑은 고딕" w:cs="맑은 고딕" w:eastAsia="맑은 고딕" w:hAnsi="맑은 고딕"/>
        </w:rPr>
        <w:t xml:space="preserve">WM AI COE 3명 (기획 1명 · 개발 2명)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활용 지식 : </w:t>
      </w:r>
      <w:r>
        <w:rPr>
          <w:rFonts w:ascii="맑은 고딕" w:cs="맑은 고딕" w:eastAsia="맑은 고딕" w:hAnsi="맑은 고딕"/>
        </w:rPr>
        <w:t xml:space="preserve">행내 가이드 · 스타런 교육자료 · 영업점 Hot Tip 등 86건 → 지식카드 약 720장으로 구조화</w:t>
      </w:r>
    </w:p>
    <w:p>
      <w:pPr>
        <w:pBdr>
          <w:bottom w:val="single" w:color="1F3864" w:sz="8" w:space="2"/>
        </w:pBdr>
        <w:spacing w:after="8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Ⅱ. 추진 결과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주요 구현 내용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(영업 전) AI 고객 브리핑 : </w:t>
      </w:r>
      <w:r>
        <w:rPr>
          <w:rFonts w:ascii="맑은 고딕" w:cs="맑은 고딕" w:eastAsia="맑은 고딕" w:hAnsi="맑은 고딕"/>
        </w:rPr>
        <w:t xml:space="preserve">관리 대상 사유 · 운용 현황 · 오늘의 제안 · 화법 · 예상 반론 · 안내 콘텐츠 등 9개 섹션을 고객별 자동 생성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(영업 중) 대화형 상담 에이전트 : </w:t>
      </w:r>
      <w:r>
        <w:rPr>
          <w:rFonts w:ascii="맑은 고딕" w:cs="맑은 고딕" w:eastAsia="맑은 고딕" w:hAnsi="맑은 고딕"/>
        </w:rPr>
        <w:t xml:space="preserve">제도·상품 지식, 고객별 개인화 제안, 과거 상담 맥락을 근거와 함께 답변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(영업 후) 업무 연계 : </w:t>
      </w:r>
      <w:r>
        <w:rPr>
          <w:rFonts w:ascii="맑은 고딕" w:cs="맑은 고딕" w:eastAsia="맑은 고딕" w:hAnsi="맑은 고딕"/>
        </w:rPr>
        <w:t xml:space="preserve">MyStar 단말 화면 원클릭 연동, 상담이력 작성·등록·재접촉 일정 관리, 고객 안내 문자 발송 화면 연계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실현 수준 : </w:t>
      </w:r>
      <w:r>
        <w:rPr>
          <w:rFonts w:ascii="맑은 고딕" w:cs="맑은 고딕" w:eastAsia="맑은 고딕" w:hAnsi="맑은 고딕"/>
        </w:rPr>
        <w:t xml:space="preserve">PoC 완료 및 스타뱅킹 개발서버 배포, 행내 시스템과 실제 연동까지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실제 작동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행내 GenAI 플랫폼 호출 · 스타뱅킹 개발서버 배포 · WorkB 쪽지(MCP) · MyStar 단말 화면 연동 · 상담이력 관리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작동 (품질 보정 중)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 기반 질의응답(164문항 실측) · AI 브리핑 9개 섹션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시연 수준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고객 안내 문자 — 발송 화면과 문구만 제공, 발송 여부는 직원이 결정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더미 · 미구현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고객 데이터(목업 12명) · 금리·시황 · 세미나·이벤트 일정은 시연값 / 평상시 대시보드 미구현</w:t>
            </w:r>
          </w:p>
        </w:tc>
      </w:tr>
    </w:tbl>
    <w:p>
      <w:pPr>
        <w:pBdr>
          <w:bottom w:val="single" w:color="1F3864" w:sz="8" w:space="2"/>
        </w:pBdr>
        <w:spacing w:after="8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Ⅲ. 도입 효과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핵심 효과는 시간 단축보다 «할 수 없던 일을 할 수 있게 하는 것»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사후관리를 하지 못하던 직원도 수행 가능 → 사후관리 수행 인력 확대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직원 역량에 따라 편차가 크던 상담 → 일관된 고품질 상담으로 상향평준화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2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현재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에이전트 활용 시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상담 준비시간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42분 (현황 조회·자료 검색·상품 비교 직접 수행)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18분 (약 57% 단축)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 화면 이동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화면번호 확인 후 단말에서 직접 찾아 이동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답변에서 MyStar 단말 화면 원클릭 연동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상담이력 관리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이력 작성·등록, 재접촉 일정 관리를 직원이 수기 처리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에이전트가 작성 → 등록 → 재접촉 일정 관리까지 수행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 가능 인력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연금 경험이 많은 일부 직원에 의존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신입~중견 직원도 사후관리 상담 수행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상담 품질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직원별 편차가 크고 품질 보장 곤란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행내 지식 기반 근거·화법·주의사항 일관 제공</w:t>
            </w:r>
          </w:p>
        </w:tc>
      </w:tr>
    </w:tbl>
    <w:p>
      <w:pPr>
        <w:spacing w:after="40" w:before="30"/>
        <w:ind w:left="30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※ 준비시간은 PoC 환경 산정치이며, 실데이터 파일럿에서 실측 검증 예정</w:t>
      </w:r>
    </w:p>
    <w:p>
      <w:pPr>
        <w:pageBreakBefore/>
        <w:pBdr>
          <w:bottom w:val="single" w:color="1F3864" w:sz="8" w:space="2"/>
        </w:pBdr>
        <w:spacing w:after="8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Ⅳ. 주요 시사점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동일 모델에서 답변 품질을 좌우한 것은 «지식 구조화»와 «통제 설계»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지식이 정리된 질문은 정확, 흩어지거나 빠진 질문은 부정확 → 문서의 추출·정규화와 출처·기준시점 부여가 선행되어야 함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수치·상품·적합성 판단은 코드가, 문장은 AI가 담당 → 근거 밖 수치는 자동 차단, 고객 발송 등 되돌릴 수 없는 행위는 직원이 최종 결정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행내 인프라는 문서와 실제가 다름 → 개발서버 조기 실측 필수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게이트웨이 응답 형식 불일치, 고객번호 형식의 보안필터 차단, 호출 제한(429) 등을 실측으로 해결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MCP로 행내 시스템(WorkB) 연결 성공 → «말하는 AI»에서 «일하는 AI»로 갈 수 있는 통로 확인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현장은 «완성형»을 원함 (영업점 Hot Tip 50건 분석)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비율보다 금액(«16.5% 공제»보다 «148만원 환급»), 찾아가는 자료가 아니라 «도착해 있는» 자료, 완성 대사·화면번호까지 제공</w:t>
      </w:r>
    </w:p>
    <w:p>
      <w:pPr>
        <w:pBdr>
          <w:bottom w:val="single" w:color="1F3864" w:sz="8" w:space="2"/>
        </w:pBdr>
        <w:spacing w:after="8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Ⅴ. 한계 및 넘어야 할 산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한계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답변 표현의 비결정성 (수치 오류는 차단하나 표현의 일관성은 완전히 보장되지 않음)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응답 지연·호출 비용 (질문 1건당 AI 호출 3~14회), 단일 서버 전제 구조 (다중 서버 전환 시 보완 필요)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</w:rPr>
        <w:t xml:space="preserve">일부 타겟 기준(원리금 편중 80%, 리밸런싱 미실시 12개월)은 행내 문서에 없는 설계 제안값 → 실데이터로 보정 필요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넘어야 할 산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(지식데이터화) </w:t>
      </w:r>
      <w:r>
        <w:rPr>
          <w:rFonts w:ascii="맑은 고딕" w:cs="맑은 고딕" w:eastAsia="맑은 고딕" w:hAnsi="맑은 고딕"/>
        </w:rPr>
        <w:t xml:space="preserve">흩어진 문서와 현장 암묵지의 구조화, 본부 공식 / 현장 팁 / 고객 공개 가능 여부 등 신뢰등급 관리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(현업 사후관리) </w:t>
      </w:r>
      <w:r>
        <w:rPr>
          <w:rFonts w:ascii="맑은 고딕" w:cs="맑은 고딕" w:eastAsia="맑은 고딕" w:hAnsi="맑은 고딕"/>
        </w:rPr>
        <w:t xml:space="preserve">제도·금리·상품 변경 시 지식 최신화 → 현업 부서의 지식 오너 지정과 갱신·검수 체계(R&amp;R) 필요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(실데이터 연동) </w:t>
      </w:r>
      <w:r>
        <w:rPr>
          <w:rFonts w:ascii="맑은 고딕" w:cs="맑은 고딕" w:eastAsia="맑은 고딕" w:hAnsi="맑은 고딕"/>
        </w:rPr>
        <w:t xml:space="preserve">고객 원장·CRM·시세 연동, 데이터딕셔너리에서 확인되지 않은 7개 필드(만기·세액공제 한도 등) 소스 확정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(운영·품질·정착) </w:t>
      </w:r>
      <w:r>
        <w:rPr>
          <w:rFonts w:ascii="맑은 고딕" w:cs="맑은 고딕" w:eastAsia="맑은 고딕" w:hAnsi="맑은 고딕"/>
        </w:rPr>
        <w:t xml:space="preserve">다중 서버 대응, 개인정보 마스킹, 현업이 정의한 평가셋 기반 품질 관리, 교육·사용 원칙 수립</w:t>
      </w:r>
    </w:p>
    <w:p>
      <w:pPr>
        <w:pageBreakBefore/>
        <w:pBdr>
          <w:bottom w:val="single" w:color="1F3864" w:sz="8" w:space="2"/>
        </w:pBdr>
        <w:spacing w:after="8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Ⅵ. 제도 · 혁신금융 · 컴플라이언스 고려사항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이슈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PoC 대응 / 향후 과제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금융소비자보호법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적합성 · 설명의무 · 부당권유 금지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적합성 판정을 코드로 강제, 수익 단정 금지 표시 / 판매 프로세스 내 AI 역할 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광고 · 안내 문자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광고 심의 · 표기 · 수신거부 안내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문자 골격은 코드가 조립, 발송은 직원 결정 / 사전 심의 절차 연계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개인정보 · 신용정보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처리 범위 · 외부 전송 · 로그 보관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목업 데이터만 사용 / 실데이터 전 마스킹 규칙·행내 모니터링 체계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망분리 · 혁신금융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내부망 생성형 AI, 외부 AI 활용 특례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행내 GenAI 플랫폼 경유 / 외부 AI 확대 시 지정 절차 검토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AI 기본법 · 가이드라인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투명성 · 설명가능성 · 책임성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 표시, 판단 기준 근거등급 관리 / 대고객 시 AI 고지 검토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책임 소재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제안에 따른 상담의 책임 주체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판단·발송은 직원 / 내부통제 기준 마련</w:t>
            </w:r>
          </w:p>
        </w:tc>
      </w:tr>
    </w:tbl>
    <w:p>
      <w:pPr>
        <w:spacing w:after="40" w:before="30"/>
        <w:ind w:left="30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※ 검토 필요 항목을 정리한 것으로, 법적 판단은 준법감시·법무·정보보호 부서 검토에 따름</w:t>
      </w:r>
    </w:p>
    <w:p>
      <w:pPr>
        <w:pBdr>
          <w:bottom w:val="single" w:color="1F3864" w:sz="8" w:space="2"/>
        </w:pBdr>
        <w:spacing w:after="8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Ⅶ. 향후 추진 방향 및 요청 사항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추진 방향(안)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1단계 PoC 고도화 : </w:t>
      </w:r>
      <w:r>
        <w:rPr>
          <w:rFonts w:ascii="맑은 고딕" w:cs="맑은 고딕" w:eastAsia="맑은 고딕" w:hAnsi="맑은 고딕"/>
        </w:rPr>
        <w:t xml:space="preserve">다중 서버·개인정보 마스킹 등 운영 구조 보완, 데이터 소스 확정, 컴플라이언스 사전 협의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2단계 실데이터 파일럿 : </w:t>
      </w:r>
      <w:r>
        <w:rPr>
          <w:rFonts w:ascii="맑은 고딕" w:cs="맑은 고딕" w:eastAsia="맑은 고딕" w:hAnsi="맑은 고딕"/>
        </w:rPr>
        <w:t xml:space="preserve">일부 영업점 대상 실데이터 적용, 현업 지식 오너 참여, 준비시간·상담 품질 효과 실측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3단계 운영 배포 : </w:t>
      </w:r>
      <w:r>
        <w:rPr>
          <w:rFonts w:ascii="맑은 고딕" w:cs="맑은 고딕" w:eastAsia="맑은 고딕" w:hAnsi="맑은 고딕"/>
        </w:rPr>
        <w:t xml:space="preserve">퇴직연금 운영 배포, 지식베이스·통제 체계·행내 연동을 공통 기반으로 재사용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맑은 고딕" w:cs="맑은 고딕" w:eastAsia="맑은 고딕" w:hAnsi="맑은 고딕"/>
          <w:b/>
          <w:bCs/>
        </w:rPr>
        <w:t xml:space="preserve">요청 사항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① 현업 지식 오너 지정 : </w:t>
      </w:r>
      <w:r>
        <w:rPr>
          <w:rFonts w:ascii="맑은 고딕" w:cs="맑은 고딕" w:eastAsia="맑은 고딕" w:hAnsi="맑은 고딕"/>
        </w:rPr>
        <w:t xml:space="preserve">연금사업부 등 현업 부서가 지식 갱신·검수 담당 (지식 최신화 없이는 품질 유지 불가)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② 실데이터 파일럿 승인 : </w:t>
      </w:r>
      <w:r>
        <w:rPr>
          <w:rFonts w:ascii="맑은 고딕" w:cs="맑은 고딕" w:eastAsia="맑은 고딕" w:hAnsi="맑은 고딕"/>
        </w:rPr>
        <w:t xml:space="preserve">일부 영업점 대상 파일럿 및 고객 데이터 접근 협의 지원 (더미 데이터로는 효과 검증 불가)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③ AI 협의체 구성 : </w:t>
      </w:r>
      <w:r>
        <w:rPr>
          <w:rFonts w:ascii="맑은 고딕" w:cs="맑은 고딕" w:eastAsia="맑은 고딕" w:hAnsi="맑은 고딕"/>
        </w:rPr>
        <w:t xml:space="preserve">준법감시·법무·정보보호 부서 참여, 금소법·광고·개인정보 이슈 사전 정리</w:t>
      </w:r>
    </w:p>
    <w:p>
      <w:pPr>
        <w:pStyle w:val="ListParagraph"/>
        <w:numPr>
          <w:ilvl w:val="1"/>
          <w:numId w:val="2"/>
        </w:numPr>
        <w:spacing w:after="30" w:line="276"/>
      </w:pPr>
      <w:r>
        <w:rPr>
          <w:rFonts w:ascii="맑은 고딕" w:cs="맑은 고딕" w:eastAsia="맑은 고딕" w:hAnsi="맑은 고딕"/>
          <w:b/>
          <w:bCs/>
        </w:rPr>
        <w:t xml:space="preserve">④ 후속 과제 결정 및 지원 : </w:t>
      </w:r>
      <w:r>
        <w:rPr>
          <w:rFonts w:ascii="맑은 고딕" w:cs="맑은 고딕" w:eastAsia="맑은 고딕" w:hAnsi="맑은 고딕"/>
        </w:rPr>
        <w:t xml:space="preserve">후속 과제 방향 결정, 운영 전환을 위한 인력·예산 지원</w:t>
      </w:r>
    </w:p>
    <w:sectPr>
      <w:footerReference w:type="default" r:id="rId7"/>
      <w:pgSz w:w="11906" w:h="16838" w:orient="portrait"/>
      <w:pgMar w:top="850" w:right="1134" w:bottom="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00" w:hanging="300"/>
      </w:pPr>
    </w:lvl>
    <w:lvl w:ilvl="1" w15:tentative="1">
      <w:start w:val="1"/>
      <w:numFmt w:val="bullet"/>
      <w:lvlText w:val="○"/>
      <w:lvlJc w:val="left"/>
      <w:pPr>
        <w:ind w:left="640" w:hanging="280"/>
      </w:pPr>
    </w:lvl>
    <w:lvl w:ilvl="2" w15:tentative="1">
      <w:start w:val="1"/>
      <w:numFmt w:val="bullet"/>
      <w:lvlText w:val="-"/>
      <w:lvlJc w:val="left"/>
      <w:pPr>
        <w:ind w:left="9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퇴직연금 AI 사후관리 에이전트 PoC 결과 보고(요약)</dc:title>
  <dc:creator>WM AI COE</dc:creator>
  <cp:lastModifiedBy>Un-named</cp:lastModifiedBy>
  <cp:revision>1</cp:revision>
  <dcterms:created xsi:type="dcterms:W3CDTF">2026-10-01T01:38:41.710Z</dcterms:created>
  <dcterms:modified xsi:type="dcterms:W3CDTF">2026-10-01T01:38:41.711Z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