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Casos de prueba de </w:t>
      </w:r>
      <w:r>
        <w:rPr>
          <w:b/>
          <w:bCs/>
          <w:u w:val="single"/>
          <w:lang w:val="es-ES"/>
        </w:rPr>
        <w:t>metro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Caso_0</w:t>
      </w:r>
      <w:r>
        <w:rPr/>
        <w:t>1</w:t>
      </w:r>
      <w:r>
        <w:rPr/>
        <w:t>_</w:t>
      </w:r>
      <w:r>
        <w:rPr/>
        <w:t>Enunciado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  <w:r>
        <w:rPr/>
        <w:t>Debe cumplir con el enunciado.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6 3 4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1 2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2 3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4 5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1 3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3 4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4 6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5 6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Caso_0</w:t>
      </w:r>
      <w:r>
        <w:rPr/>
        <w:t>2</w:t>
      </w:r>
      <w:r>
        <w:rPr/>
        <w:t>_</w:t>
      </w:r>
      <w:r>
        <w:rPr/>
        <w:t>Ningun_puente_entre_las_islas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  <w:r>
        <w:rPr/>
        <w:t>No hay puentes ingresados por lo que el resultado es 0.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3 2 0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1 2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2 3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0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Caso_0</w:t>
      </w:r>
      <w:r>
        <w:rPr/>
        <w:t>3</w:t>
      </w:r>
      <w:r>
        <w:rPr/>
        <w:t>_</w:t>
      </w:r>
      <w:r>
        <w:rPr/>
        <w:t>Todas_las_islas_tienen_puentes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  <w:r>
        <w:rPr/>
        <w:t>Devuelve todas las conexiones con puentes.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3 0 2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1 2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2 3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2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Caso_0</w:t>
      </w:r>
      <w:r>
        <w:rPr/>
        <w:t>4</w:t>
      </w:r>
      <w:r>
        <w:rPr/>
        <w:t>_</w:t>
      </w:r>
      <w:r>
        <w:rPr/>
        <w:t>Valores_maximos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  <w:r>
        <w:rPr/>
        <w:t>Todos los valores son máximos.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10000 12000 12000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1 2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1 3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…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10000 2005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10000 9631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 determinar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Caso_</w:t>
      </w:r>
      <w:r>
        <w:rPr/>
        <w:t>05</w:t>
      </w:r>
      <w:r>
        <w:rPr/>
        <w:t>_</w:t>
      </w:r>
      <w:r>
        <w:rPr/>
        <w:t>Sin_puentes_ni_tuneles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  <w:r>
        <w:rPr/>
        <w:t>Al no haber túneles ni puentes devuelve 0.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5 0 0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Caso_</w:t>
      </w:r>
      <w:r>
        <w:rPr/>
        <w:t>06</w:t>
      </w:r>
      <w:r>
        <w:rPr/>
        <w:t>_</w:t>
      </w:r>
    </w:p>
    <w:p>
      <w:pPr>
        <w:pStyle w:val="ListParagraph"/>
        <w:spacing w:before="0" w:after="0"/>
        <w:contextualSpacing/>
        <w:rPr/>
      </w:pPr>
      <w:r>
        <w:rPr/>
        <w:t xml:space="preserve">Descripción: </w:t>
      </w:r>
    </w:p>
    <w:tbl>
      <w:tblPr>
        <w:tblStyle w:val="Tablaconcuadrcula"/>
        <w:tblW w:w="777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1"/>
        <w:gridCol w:w="4072"/>
      </w:tblGrid>
      <w:tr>
        <w:trPr/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</w:t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OUT</w:t>
            </w:r>
          </w:p>
        </w:tc>
      </w:tr>
      <w:tr>
        <w:trPr>
          <w:trHeight w:val="2138" w:hRule="atLeast"/>
        </w:trPr>
        <w:tc>
          <w:tcPr>
            <w:tcW w:w="3701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416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407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1531" w:hanging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24f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624f94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624f94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6d61"/>
    <w:pPr>
      <w:spacing w:lineRule="auto" w:line="276" w:before="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624f9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24f94"/>
    <w:pPr/>
    <w:rPr>
      <w:b/>
      <w:bCs/>
    </w:rPr>
  </w:style>
  <w:style w:type="paragraph" w:styleId="NoSpacing">
    <w:name w:val="No Spacing"/>
    <w:uiPriority w:val="1"/>
    <w:qFormat/>
    <w:rsid w:val="00624f9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c6d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Application>LibreOffice/7.3.2.2$Windows_X86_64 LibreOffice_project/49f2b1bff42cfccbd8f788c8dc32c1c309559be0</Application>
  <AppVersion>15.0000</AppVersion>
  <Pages>2</Pages>
  <Words>123</Words>
  <Characters>538</Characters>
  <CharactersWithSpaces>604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2022-04-01T01:06:00Z</dcterms:created>
  <dc:creator>Alberto Daniel Tomadin</dc:creator>
  <dc:description/>
  <dc:language>es-AR</dc:language>
  <cp:lastModifiedBy/>
  <cp:lastPrinted>2022-04-09T18:28:00Z</cp:lastPrinted>
  <dcterms:modified xsi:type="dcterms:W3CDTF">2022-06-09T11:27:40Z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