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02095" w14:textId="77777777" w:rsidR="007E62A9" w:rsidRDefault="007E62A9"/>
    <w:tbl>
      <w:tblPr>
        <w:tblStyle w:val="ab"/>
        <w:tblW w:w="20828" w:type="dxa"/>
        <w:tblLook w:val="04A0" w:firstRow="1" w:lastRow="0" w:firstColumn="1" w:lastColumn="0" w:noHBand="0" w:noVBand="1"/>
      </w:tblPr>
      <w:tblGrid>
        <w:gridCol w:w="2552"/>
        <w:gridCol w:w="3402"/>
        <w:gridCol w:w="9788"/>
        <w:gridCol w:w="5086"/>
      </w:tblGrid>
      <w:tr w:rsidR="007E62A9" w14:paraId="64D02098" w14:textId="77777777">
        <w:trPr>
          <w:trHeight w:val="28"/>
        </w:trPr>
        <w:tc>
          <w:tcPr>
            <w:tcW w:w="2082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4D02096" w14:textId="77777777" w:rsidR="007E62A9" w:rsidRDefault="00EB7D7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Inventory of supplemental materials</w:t>
            </w:r>
          </w:p>
          <w:p w14:paraId="64D02097" w14:textId="77777777" w:rsidR="007E62A9" w:rsidRDefault="007E62A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7E62A9" w14:paraId="64D0209C" w14:textId="77777777">
        <w:trPr>
          <w:trHeight w:val="28"/>
        </w:trPr>
        <w:tc>
          <w:tcPr>
            <w:tcW w:w="2552" w:type="dxa"/>
            <w:tcBorders>
              <w:top w:val="single" w:sz="4" w:space="0" w:color="auto"/>
            </w:tcBorders>
            <w:vAlign w:val="center"/>
          </w:tcPr>
          <w:p w14:paraId="64D02099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File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3190" w:type="dxa"/>
            <w:gridSpan w:val="2"/>
            <w:tcBorders>
              <w:top w:val="single" w:sz="4" w:space="0" w:color="auto"/>
            </w:tcBorders>
            <w:vAlign w:val="center"/>
          </w:tcPr>
          <w:p w14:paraId="64D0209A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Specific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5086" w:type="dxa"/>
            <w:tcBorders>
              <w:top w:val="single" w:sz="4" w:space="0" w:color="auto"/>
            </w:tcBorders>
            <w:vAlign w:val="center"/>
          </w:tcPr>
          <w:p w14:paraId="64D0209B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Corresponding </w:t>
            </w:r>
            <w:r>
              <w:rPr>
                <w:rFonts w:ascii="Times New Roman" w:hAnsi="Times New Roman" w:cs="Times New Roman" w:hint="eastAsia"/>
                <w:b/>
                <w:bCs/>
                <w:sz w:val="24"/>
                <w:szCs w:val="24"/>
              </w:rPr>
              <w:t>parts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in the manuscript</w:t>
            </w:r>
          </w:p>
        </w:tc>
      </w:tr>
      <w:tr w:rsidR="007E62A9" w14:paraId="64D020A1" w14:textId="77777777">
        <w:trPr>
          <w:trHeight w:val="28"/>
        </w:trPr>
        <w:tc>
          <w:tcPr>
            <w:tcW w:w="2552" w:type="dxa"/>
            <w:vMerge w:val="restart"/>
            <w:vAlign w:val="center"/>
          </w:tcPr>
          <w:p w14:paraId="64D0209D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Table S1</w:t>
            </w:r>
          </w:p>
        </w:tc>
        <w:tc>
          <w:tcPr>
            <w:tcW w:w="3402" w:type="dxa"/>
            <w:vMerge w:val="restart"/>
            <w:vAlign w:val="center"/>
          </w:tcPr>
          <w:p w14:paraId="64D0209E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The CEM-EKB containing 235 documents</w:t>
            </w:r>
          </w:p>
        </w:tc>
        <w:tc>
          <w:tcPr>
            <w:tcW w:w="9788" w:type="dxa"/>
            <w:vAlign w:val="center"/>
          </w:tcPr>
          <w:p w14:paraId="64D0209F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erging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chapters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for three textbooks</w:t>
            </w:r>
          </w:p>
        </w:tc>
        <w:tc>
          <w:tcPr>
            <w:tcW w:w="5086" w:type="dxa"/>
            <w:vAlign w:val="center"/>
          </w:tcPr>
          <w:p w14:paraId="64D020A0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2)</w:t>
            </w:r>
          </w:p>
        </w:tc>
      </w:tr>
      <w:tr w:rsidR="007E62A9" w14:paraId="64D020A6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0A2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A3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A4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erging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sections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for three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textbooks</w:t>
            </w:r>
          </w:p>
        </w:tc>
        <w:tc>
          <w:tcPr>
            <w:tcW w:w="5086" w:type="dxa"/>
            <w:vAlign w:val="center"/>
          </w:tcPr>
          <w:p w14:paraId="64D020A5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2)</w:t>
            </w:r>
          </w:p>
        </w:tc>
      </w:tr>
      <w:tr w:rsidR="007E62A9" w14:paraId="64D020AB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0A7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A8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A9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Extracting the document name entities and removing the non-knowledge documents</w:t>
            </w:r>
          </w:p>
        </w:tc>
        <w:tc>
          <w:tcPr>
            <w:tcW w:w="5086" w:type="dxa"/>
            <w:vAlign w:val="center"/>
          </w:tcPr>
          <w:p w14:paraId="64D020AA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2)</w:t>
            </w:r>
          </w:p>
        </w:tc>
      </w:tr>
      <w:tr w:rsidR="007E62A9" w14:paraId="64D020B0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0AC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AD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AE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Merging CEM-related knowledge documents of the same meaning</w:t>
            </w:r>
          </w:p>
        </w:tc>
        <w:tc>
          <w:tcPr>
            <w:tcW w:w="5086" w:type="dxa"/>
            <w:vAlign w:val="center"/>
          </w:tcPr>
          <w:p w14:paraId="64D020AF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2)</w:t>
            </w:r>
          </w:p>
        </w:tc>
      </w:tr>
      <w:tr w:rsidR="007E62A9" w14:paraId="64D020B5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0B1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B2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B3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CEM knowledge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framework with 7 second-tier and 40 third-tier subdomains</w:t>
            </w:r>
          </w:p>
        </w:tc>
        <w:tc>
          <w:tcPr>
            <w:tcW w:w="5086" w:type="dxa"/>
            <w:vAlign w:val="center"/>
          </w:tcPr>
          <w:p w14:paraId="64D020B4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2)</w:t>
            </w:r>
          </w:p>
        </w:tc>
      </w:tr>
      <w:tr w:rsidR="007E62A9" w14:paraId="64D020BA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0B6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B7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B8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CEM-EKB containing 235 documents</w:t>
            </w:r>
          </w:p>
        </w:tc>
        <w:tc>
          <w:tcPr>
            <w:tcW w:w="5086" w:type="dxa"/>
            <w:vAlign w:val="center"/>
          </w:tcPr>
          <w:p w14:paraId="64D020B9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2)</w:t>
            </w:r>
          </w:p>
        </w:tc>
      </w:tr>
      <w:tr w:rsidR="007E62A9" w14:paraId="64D020BF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0BB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BC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BD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Experts for pre-assessing the CEM-EKB</w:t>
            </w:r>
          </w:p>
        </w:tc>
        <w:tc>
          <w:tcPr>
            <w:tcW w:w="5086" w:type="dxa"/>
            <w:vAlign w:val="center"/>
          </w:tcPr>
          <w:p w14:paraId="64D020BE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2)</w:t>
            </w:r>
          </w:p>
        </w:tc>
      </w:tr>
      <w:tr w:rsidR="007E62A9" w14:paraId="64D020C4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0C0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C1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C2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evaluations of CEM knowledge framework from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industry experts</w:t>
            </w:r>
          </w:p>
        </w:tc>
        <w:tc>
          <w:tcPr>
            <w:tcW w:w="5086" w:type="dxa"/>
            <w:vAlign w:val="center"/>
          </w:tcPr>
          <w:p w14:paraId="64D020C3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2)</w:t>
            </w:r>
          </w:p>
        </w:tc>
      </w:tr>
      <w:tr w:rsidR="007E62A9" w14:paraId="64D020C9" w14:textId="77777777">
        <w:trPr>
          <w:trHeight w:val="28"/>
        </w:trPr>
        <w:tc>
          <w:tcPr>
            <w:tcW w:w="2552" w:type="dxa"/>
            <w:vMerge w:val="restart"/>
            <w:vAlign w:val="center"/>
          </w:tcPr>
          <w:p w14:paraId="64D020C5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Table S2</w:t>
            </w:r>
          </w:p>
        </w:tc>
        <w:tc>
          <w:tcPr>
            <w:tcW w:w="3402" w:type="dxa"/>
            <w:vMerge w:val="restart"/>
            <w:vAlign w:val="center"/>
          </w:tcPr>
          <w:p w14:paraId="64D020C6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The CEM-QA training dataset containing 10,100 questions</w:t>
            </w:r>
          </w:p>
        </w:tc>
        <w:tc>
          <w:tcPr>
            <w:tcW w:w="9788" w:type="dxa"/>
            <w:vAlign w:val="center"/>
          </w:tcPr>
          <w:p w14:paraId="64D020C7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The 1,800 answers to 200 questions from 9 GLLMs on the early trial</w:t>
            </w:r>
          </w:p>
        </w:tc>
        <w:tc>
          <w:tcPr>
            <w:tcW w:w="5086" w:type="dxa"/>
            <w:vAlign w:val="center"/>
          </w:tcPr>
          <w:p w14:paraId="64D020C8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3.2 (Fig. 3)</w:t>
            </w:r>
          </w:p>
        </w:tc>
      </w:tr>
      <w:tr w:rsidR="007E62A9" w14:paraId="64D020CE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0CA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CB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CC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CEM-QA training dataset for prompt understanding</w:t>
            </w:r>
          </w:p>
        </w:tc>
        <w:tc>
          <w:tcPr>
            <w:tcW w:w="5086" w:type="dxa"/>
            <w:vAlign w:val="center"/>
          </w:tcPr>
          <w:p w14:paraId="64D020CD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7E62A9" w14:paraId="64D020D3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0CF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D0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D1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CEM-QA training dataset for mathematical computation</w:t>
            </w:r>
          </w:p>
        </w:tc>
        <w:tc>
          <w:tcPr>
            <w:tcW w:w="5086" w:type="dxa"/>
            <w:vAlign w:val="center"/>
          </w:tcPr>
          <w:p w14:paraId="64D020D2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(Fig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7E62A9" w14:paraId="64D020D8" w14:textId="77777777">
        <w:trPr>
          <w:trHeight w:val="306"/>
        </w:trPr>
        <w:tc>
          <w:tcPr>
            <w:tcW w:w="2552" w:type="dxa"/>
            <w:vMerge w:val="restart"/>
            <w:vAlign w:val="center"/>
          </w:tcPr>
          <w:p w14:paraId="64D020D4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Table S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  <w:tc>
          <w:tcPr>
            <w:tcW w:w="3402" w:type="dxa"/>
            <w:vMerge w:val="restart"/>
            <w:vAlign w:val="center"/>
          </w:tcPr>
          <w:p w14:paraId="64D020D5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CEM-QA test dataset containing 5,050 multiple-choice questions and 100 case-based questions</w:t>
            </w:r>
          </w:p>
        </w:tc>
        <w:tc>
          <w:tcPr>
            <w:tcW w:w="9788" w:type="dxa"/>
            <w:vAlign w:val="center"/>
          </w:tcPr>
          <w:p w14:paraId="64D020D6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CEM-QA test dataset containing 5,050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questions</w:t>
            </w:r>
          </w:p>
        </w:tc>
        <w:tc>
          <w:tcPr>
            <w:tcW w:w="5086" w:type="dxa"/>
            <w:vAlign w:val="center"/>
          </w:tcPr>
          <w:p w14:paraId="64D020D7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3.4 (Fig. 5)</w:t>
            </w:r>
          </w:p>
        </w:tc>
      </w:tr>
      <w:tr w:rsidR="007E62A9" w14:paraId="64D020DD" w14:textId="77777777">
        <w:trPr>
          <w:trHeight w:val="306"/>
        </w:trPr>
        <w:tc>
          <w:tcPr>
            <w:tcW w:w="2552" w:type="dxa"/>
            <w:vMerge/>
            <w:vAlign w:val="center"/>
          </w:tcPr>
          <w:p w14:paraId="64D020D9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DA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DB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CEM-QA test dataset containing 100 case-based questions</w:t>
            </w:r>
          </w:p>
        </w:tc>
        <w:tc>
          <w:tcPr>
            <w:tcW w:w="5086" w:type="dxa"/>
            <w:vAlign w:val="center"/>
          </w:tcPr>
          <w:p w14:paraId="64D020DC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3.4</w:t>
            </w:r>
          </w:p>
        </w:tc>
      </w:tr>
      <w:tr w:rsidR="007E62A9" w14:paraId="64D020E2" w14:textId="77777777">
        <w:trPr>
          <w:trHeight w:val="268"/>
        </w:trPr>
        <w:tc>
          <w:tcPr>
            <w:tcW w:w="2552" w:type="dxa"/>
            <w:vMerge/>
            <w:vAlign w:val="center"/>
          </w:tcPr>
          <w:p w14:paraId="64D020DE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DF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E0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Experts for formulating the 2,225 questions</w:t>
            </w:r>
          </w:p>
        </w:tc>
        <w:tc>
          <w:tcPr>
            <w:tcW w:w="5086" w:type="dxa"/>
            <w:vAlign w:val="center"/>
          </w:tcPr>
          <w:p w14:paraId="64D020E1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3.4</w:t>
            </w:r>
          </w:p>
        </w:tc>
      </w:tr>
      <w:tr w:rsidR="007E62A9" w14:paraId="64D020E7" w14:textId="77777777">
        <w:trPr>
          <w:trHeight w:val="268"/>
        </w:trPr>
        <w:tc>
          <w:tcPr>
            <w:tcW w:w="2552" w:type="dxa"/>
            <w:vMerge/>
            <w:vAlign w:val="center"/>
          </w:tcPr>
          <w:p w14:paraId="64D020E3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E4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E5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 of each case-based question by experts</w:t>
            </w:r>
          </w:p>
        </w:tc>
        <w:tc>
          <w:tcPr>
            <w:tcW w:w="5086" w:type="dxa"/>
            <w:vAlign w:val="center"/>
          </w:tcPr>
          <w:p w14:paraId="64D020E6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3.4</w:t>
            </w:r>
          </w:p>
        </w:tc>
      </w:tr>
      <w:tr w:rsidR="007E62A9" w14:paraId="64D020EC" w14:textId="77777777">
        <w:trPr>
          <w:trHeight w:val="386"/>
        </w:trPr>
        <w:tc>
          <w:tcPr>
            <w:tcW w:w="2552" w:type="dxa"/>
            <w:vMerge w:val="restart"/>
            <w:vAlign w:val="center"/>
          </w:tcPr>
          <w:p w14:paraId="64D020E8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Table S4</w:t>
            </w:r>
          </w:p>
        </w:tc>
        <w:tc>
          <w:tcPr>
            <w:tcW w:w="3402" w:type="dxa"/>
            <w:vMerge w:val="restart"/>
            <w:vAlign w:val="center"/>
          </w:tcPr>
          <w:p w14:paraId="64D020E9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answers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each MCQ and CBQ from 9 GLLMs before and after the CEM knowledge integration and fine-tuning, and results of Wilcoxon signed-rank tests</w:t>
            </w:r>
          </w:p>
        </w:tc>
        <w:tc>
          <w:tcPr>
            <w:tcW w:w="9788" w:type="dxa"/>
            <w:vAlign w:val="center"/>
          </w:tcPr>
          <w:p w14:paraId="64D020EA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answer of each multiple-choice question from 9 GLLMs before and after CEM knowledge integration and fine-tuning</w:t>
            </w:r>
          </w:p>
        </w:tc>
        <w:tc>
          <w:tcPr>
            <w:tcW w:w="5086" w:type="dxa"/>
            <w:vAlign w:val="center"/>
          </w:tcPr>
          <w:p w14:paraId="64D020EB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Sections 4.1 (Figs. 7-10)</w:t>
            </w:r>
          </w:p>
        </w:tc>
      </w:tr>
      <w:tr w:rsidR="007E62A9" w14:paraId="64D020F1" w14:textId="77777777">
        <w:trPr>
          <w:trHeight w:val="386"/>
        </w:trPr>
        <w:tc>
          <w:tcPr>
            <w:tcW w:w="2552" w:type="dxa"/>
            <w:vMerge/>
            <w:vAlign w:val="center"/>
          </w:tcPr>
          <w:p w14:paraId="64D020ED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EE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EF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answer of each case-based question from 9 GLLMs before and after CEM knowledge integration and fine-tuning</w:t>
            </w:r>
          </w:p>
        </w:tc>
        <w:tc>
          <w:tcPr>
            <w:tcW w:w="5086" w:type="dxa"/>
            <w:vAlign w:val="center"/>
          </w:tcPr>
          <w:p w14:paraId="64D020F0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Sections 4.2 (Fig. 11)</w:t>
            </w:r>
          </w:p>
        </w:tc>
      </w:tr>
      <w:tr w:rsidR="007E62A9" w14:paraId="64D020F6" w14:textId="77777777">
        <w:trPr>
          <w:trHeight w:val="386"/>
        </w:trPr>
        <w:tc>
          <w:tcPr>
            <w:tcW w:w="2552" w:type="dxa"/>
            <w:vMerge/>
            <w:vAlign w:val="center"/>
          </w:tcPr>
          <w:p w14:paraId="64D020F2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F3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F4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Results of Wilcoxon signed-rank tests</w:t>
            </w:r>
          </w:p>
        </w:tc>
        <w:tc>
          <w:tcPr>
            <w:tcW w:w="5086" w:type="dxa"/>
            <w:vAlign w:val="center"/>
          </w:tcPr>
          <w:p w14:paraId="64D020F5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Sections 4.1, 4.2, and 4.3</w:t>
            </w:r>
          </w:p>
        </w:tc>
      </w:tr>
      <w:tr w:rsidR="007E62A9" w14:paraId="64D020FB" w14:textId="77777777">
        <w:trPr>
          <w:trHeight w:val="386"/>
        </w:trPr>
        <w:tc>
          <w:tcPr>
            <w:tcW w:w="2552" w:type="dxa"/>
            <w:vMerge w:val="restart"/>
            <w:vAlign w:val="center"/>
          </w:tcPr>
          <w:p w14:paraId="64D020F7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Table S5</w:t>
            </w:r>
          </w:p>
        </w:tc>
        <w:tc>
          <w:tcPr>
            <w:tcW w:w="3402" w:type="dxa"/>
            <w:vMerge w:val="restart"/>
            <w:vAlign w:val="center"/>
          </w:tcPr>
          <w:p w14:paraId="64D020F8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response time, explainability, and contextual appropriateness of GLLMs</w:t>
            </w:r>
          </w:p>
        </w:tc>
        <w:tc>
          <w:tcPr>
            <w:tcW w:w="9788" w:type="dxa"/>
            <w:vAlign w:val="center"/>
          </w:tcPr>
          <w:p w14:paraId="64D020F9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response time of each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multiple-choice question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question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from 9 GLLMs before and after CEM knowledge integration and fine-tuning</w:t>
            </w:r>
          </w:p>
        </w:tc>
        <w:tc>
          <w:tcPr>
            <w:tcW w:w="5086" w:type="dxa"/>
            <w:vAlign w:val="center"/>
          </w:tcPr>
          <w:p w14:paraId="64D020FA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4.3.1 (Fig. 12a)</w:t>
            </w:r>
          </w:p>
        </w:tc>
      </w:tr>
      <w:tr w:rsidR="007E62A9" w14:paraId="64D02100" w14:textId="77777777">
        <w:trPr>
          <w:trHeight w:val="386"/>
        </w:trPr>
        <w:tc>
          <w:tcPr>
            <w:tcW w:w="2552" w:type="dxa"/>
            <w:vMerge/>
            <w:vAlign w:val="center"/>
          </w:tcPr>
          <w:p w14:paraId="64D020FC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0FD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0FE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response time of each case-based question from 9 GLLMs before and after CEM knowledge integration and fine-tuning</w:t>
            </w:r>
          </w:p>
        </w:tc>
        <w:tc>
          <w:tcPr>
            <w:tcW w:w="5086" w:type="dxa"/>
            <w:vAlign w:val="center"/>
          </w:tcPr>
          <w:p w14:paraId="64D020FF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4.3.1 (Fig. 12b)</w:t>
            </w:r>
          </w:p>
        </w:tc>
      </w:tr>
      <w:tr w:rsidR="007E62A9" w14:paraId="64D02105" w14:textId="77777777">
        <w:trPr>
          <w:trHeight w:val="386"/>
        </w:trPr>
        <w:tc>
          <w:tcPr>
            <w:tcW w:w="2552" w:type="dxa"/>
            <w:vMerge/>
            <w:vAlign w:val="center"/>
          </w:tcPr>
          <w:p w14:paraId="64D02101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02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03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explainbility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of each multiple-choice question from 9 knowledge-incorporated GLLMs</w:t>
            </w:r>
          </w:p>
        </w:tc>
        <w:tc>
          <w:tcPr>
            <w:tcW w:w="5086" w:type="dxa"/>
            <w:vAlign w:val="center"/>
          </w:tcPr>
          <w:p w14:paraId="64D02104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4.3.2 (Fig. 13)</w:t>
            </w:r>
          </w:p>
        </w:tc>
      </w:tr>
      <w:tr w:rsidR="007E62A9" w14:paraId="64D0210A" w14:textId="77777777">
        <w:trPr>
          <w:trHeight w:val="386"/>
        </w:trPr>
        <w:tc>
          <w:tcPr>
            <w:tcW w:w="2552" w:type="dxa"/>
            <w:vMerge/>
            <w:vAlign w:val="center"/>
          </w:tcPr>
          <w:p w14:paraId="64D02106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07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08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explainbility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of each case-based question from 9 knowledge-incorporated GLLMs</w:t>
            </w:r>
          </w:p>
        </w:tc>
        <w:tc>
          <w:tcPr>
            <w:tcW w:w="5086" w:type="dxa"/>
            <w:vAlign w:val="center"/>
          </w:tcPr>
          <w:p w14:paraId="64D02109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4.3.2 (Fig. 13)</w:t>
            </w:r>
          </w:p>
        </w:tc>
      </w:tr>
      <w:tr w:rsidR="007E62A9" w14:paraId="64D0210F" w14:textId="77777777">
        <w:trPr>
          <w:trHeight w:val="386"/>
        </w:trPr>
        <w:tc>
          <w:tcPr>
            <w:tcW w:w="2552" w:type="dxa"/>
            <w:vMerge/>
            <w:vAlign w:val="center"/>
          </w:tcPr>
          <w:p w14:paraId="64D0210B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0C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0D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contextual appropriateness of each case-based question from 9 GLLMs before and after CEM knowledge integration and fine-tuning</w:t>
            </w:r>
          </w:p>
        </w:tc>
        <w:tc>
          <w:tcPr>
            <w:tcW w:w="5086" w:type="dxa"/>
            <w:vAlign w:val="center"/>
          </w:tcPr>
          <w:p w14:paraId="64D0210E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4.3.3 (Fig. 14)</w:t>
            </w:r>
          </w:p>
        </w:tc>
      </w:tr>
      <w:tr w:rsidR="007E62A9" w14:paraId="64D02114" w14:textId="77777777">
        <w:trPr>
          <w:trHeight w:val="386"/>
        </w:trPr>
        <w:tc>
          <w:tcPr>
            <w:tcW w:w="2552" w:type="dxa"/>
            <w:vMerge w:val="restart"/>
            <w:vAlign w:val="center"/>
          </w:tcPr>
          <w:p w14:paraId="64D02110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Table S6</w:t>
            </w:r>
          </w:p>
        </w:tc>
        <w:tc>
          <w:tcPr>
            <w:tcW w:w="3402" w:type="dxa"/>
            <w:vMerge w:val="restart"/>
            <w:vAlign w:val="center"/>
          </w:tcPr>
          <w:p w14:paraId="64D02111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alidation of the CEM-QA prototype</w:t>
            </w:r>
          </w:p>
        </w:tc>
        <w:tc>
          <w:tcPr>
            <w:tcW w:w="9788" w:type="dxa"/>
            <w:vAlign w:val="center"/>
          </w:tcPr>
          <w:p w14:paraId="64D02112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Functional validation of the CEM-QA prototype</w:t>
            </w:r>
          </w:p>
        </w:tc>
        <w:tc>
          <w:tcPr>
            <w:tcW w:w="5086" w:type="dxa"/>
            <w:vAlign w:val="center"/>
          </w:tcPr>
          <w:p w14:paraId="64D02113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5.2</w:t>
            </w:r>
          </w:p>
        </w:tc>
      </w:tr>
      <w:tr w:rsidR="007E62A9" w14:paraId="64D02119" w14:textId="77777777">
        <w:trPr>
          <w:trHeight w:val="386"/>
        </w:trPr>
        <w:tc>
          <w:tcPr>
            <w:tcW w:w="2552" w:type="dxa"/>
            <w:vMerge/>
            <w:vAlign w:val="center"/>
          </w:tcPr>
          <w:p w14:paraId="64D02115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16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17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Practical effectiveness validation of the CEM-QA prototype</w:t>
            </w:r>
          </w:p>
        </w:tc>
        <w:tc>
          <w:tcPr>
            <w:tcW w:w="5086" w:type="dxa"/>
            <w:vAlign w:val="center"/>
          </w:tcPr>
          <w:p w14:paraId="64D02118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5.2</w:t>
            </w:r>
          </w:p>
        </w:tc>
      </w:tr>
      <w:tr w:rsidR="007E62A9" w14:paraId="64D0211E" w14:textId="77777777">
        <w:trPr>
          <w:trHeight w:val="386"/>
        </w:trPr>
        <w:tc>
          <w:tcPr>
            <w:tcW w:w="2552" w:type="dxa"/>
            <w:vMerge/>
            <w:vAlign w:val="center"/>
          </w:tcPr>
          <w:p w14:paraId="64D0211A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1B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1C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Experts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testing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the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functions of the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CEM-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QA prototype</w:t>
            </w:r>
          </w:p>
        </w:tc>
        <w:tc>
          <w:tcPr>
            <w:tcW w:w="5086" w:type="dxa"/>
            <w:vAlign w:val="center"/>
          </w:tcPr>
          <w:p w14:paraId="64D0211D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5.2</w:t>
            </w:r>
          </w:p>
        </w:tc>
      </w:tr>
      <w:tr w:rsidR="007E62A9" w14:paraId="64D02122" w14:textId="77777777">
        <w:trPr>
          <w:trHeight w:val="386"/>
        </w:trPr>
        <w:tc>
          <w:tcPr>
            <w:tcW w:w="2552" w:type="dxa"/>
            <w:vAlign w:val="center"/>
          </w:tcPr>
          <w:p w14:paraId="64D0211F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Table S7</w:t>
            </w:r>
          </w:p>
        </w:tc>
        <w:tc>
          <w:tcPr>
            <w:tcW w:w="13190" w:type="dxa"/>
            <w:gridSpan w:val="2"/>
            <w:vAlign w:val="center"/>
          </w:tcPr>
          <w:p w14:paraId="64D02120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Comparison of studies using different QA methods</w:t>
            </w:r>
          </w:p>
        </w:tc>
        <w:tc>
          <w:tcPr>
            <w:tcW w:w="5086" w:type="dxa"/>
            <w:vAlign w:val="center"/>
          </w:tcPr>
          <w:p w14:paraId="64D02121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5.4</w:t>
            </w:r>
          </w:p>
        </w:tc>
      </w:tr>
      <w:tr w:rsidR="007E62A9" w14:paraId="64D02126" w14:textId="77777777">
        <w:trPr>
          <w:trHeight w:val="386"/>
        </w:trPr>
        <w:tc>
          <w:tcPr>
            <w:tcW w:w="2552" w:type="dxa"/>
            <w:vAlign w:val="center"/>
          </w:tcPr>
          <w:p w14:paraId="64D02123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ideo S1</w:t>
            </w:r>
          </w:p>
        </w:tc>
        <w:tc>
          <w:tcPr>
            <w:tcW w:w="13190" w:type="dxa"/>
            <w:gridSpan w:val="2"/>
            <w:vAlign w:val="center"/>
          </w:tcPr>
          <w:p w14:paraId="64D02124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Video clip of running original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LMs</w:t>
            </w:r>
          </w:p>
        </w:tc>
        <w:tc>
          <w:tcPr>
            <w:tcW w:w="5086" w:type="dxa"/>
            <w:vAlign w:val="center"/>
          </w:tcPr>
          <w:p w14:paraId="64D02125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E62A9" w14:paraId="64D0212A" w14:textId="77777777">
        <w:trPr>
          <w:trHeight w:val="386"/>
        </w:trPr>
        <w:tc>
          <w:tcPr>
            <w:tcW w:w="2552" w:type="dxa"/>
            <w:vAlign w:val="center"/>
          </w:tcPr>
          <w:p w14:paraId="64D02127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ideo S2</w:t>
            </w:r>
          </w:p>
        </w:tc>
        <w:tc>
          <w:tcPr>
            <w:tcW w:w="13190" w:type="dxa"/>
            <w:gridSpan w:val="2"/>
            <w:vAlign w:val="center"/>
          </w:tcPr>
          <w:p w14:paraId="64D02128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Video clip of running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 GLLMs</w:t>
            </w:r>
          </w:p>
        </w:tc>
        <w:tc>
          <w:tcPr>
            <w:tcW w:w="5086" w:type="dxa"/>
            <w:vAlign w:val="center"/>
          </w:tcPr>
          <w:p w14:paraId="64D02129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E62A9" w14:paraId="64D0212E" w14:textId="77777777">
        <w:trPr>
          <w:trHeight w:val="386"/>
        </w:trPr>
        <w:tc>
          <w:tcPr>
            <w:tcW w:w="2552" w:type="dxa"/>
            <w:vAlign w:val="center"/>
          </w:tcPr>
          <w:p w14:paraId="64D0212B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Video S3</w:t>
            </w:r>
          </w:p>
        </w:tc>
        <w:tc>
          <w:tcPr>
            <w:tcW w:w="13190" w:type="dxa"/>
            <w:gridSpan w:val="2"/>
            <w:vAlign w:val="center"/>
          </w:tcPr>
          <w:p w14:paraId="64D0212C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Video clip of running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 fine-tuned GLLMs</w:t>
            </w:r>
          </w:p>
        </w:tc>
        <w:tc>
          <w:tcPr>
            <w:tcW w:w="5086" w:type="dxa"/>
            <w:vAlign w:val="center"/>
          </w:tcPr>
          <w:p w14:paraId="64D0212D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E62A9" w14:paraId="64D02132" w14:textId="77777777">
        <w:trPr>
          <w:trHeight w:val="386"/>
        </w:trPr>
        <w:tc>
          <w:tcPr>
            <w:tcW w:w="2552" w:type="dxa"/>
            <w:vAlign w:val="center"/>
          </w:tcPr>
          <w:p w14:paraId="64D0212F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Video S4</w:t>
            </w:r>
          </w:p>
        </w:tc>
        <w:tc>
          <w:tcPr>
            <w:tcW w:w="13190" w:type="dxa"/>
            <w:gridSpan w:val="2"/>
            <w:vAlign w:val="center"/>
          </w:tcPr>
          <w:p w14:paraId="64D02130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Video clip of running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CEM-QA prototype</w:t>
            </w:r>
          </w:p>
        </w:tc>
        <w:tc>
          <w:tcPr>
            <w:tcW w:w="5086" w:type="dxa"/>
            <w:vAlign w:val="center"/>
          </w:tcPr>
          <w:p w14:paraId="64D02131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5.2</w:t>
            </w:r>
          </w:p>
        </w:tc>
      </w:tr>
      <w:tr w:rsidR="007E62A9" w14:paraId="64D02136" w14:textId="77777777">
        <w:trPr>
          <w:trHeight w:val="386"/>
        </w:trPr>
        <w:tc>
          <w:tcPr>
            <w:tcW w:w="2552" w:type="dxa"/>
            <w:vAlign w:val="center"/>
          </w:tcPr>
          <w:p w14:paraId="64D02133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Video S5</w:t>
            </w:r>
          </w:p>
        </w:tc>
        <w:tc>
          <w:tcPr>
            <w:tcW w:w="13190" w:type="dxa"/>
            <w:gridSpan w:val="2"/>
            <w:vAlign w:val="center"/>
          </w:tcPr>
          <w:p w14:paraId="64D02134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Video clip of testing response time of GLLMs</w:t>
            </w:r>
          </w:p>
        </w:tc>
        <w:tc>
          <w:tcPr>
            <w:tcW w:w="5086" w:type="dxa"/>
            <w:vAlign w:val="center"/>
          </w:tcPr>
          <w:p w14:paraId="64D02135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4.3.1</w:t>
            </w:r>
          </w:p>
        </w:tc>
      </w:tr>
      <w:tr w:rsidR="007E62A9" w14:paraId="64D0213A" w14:textId="77777777">
        <w:trPr>
          <w:trHeight w:val="386"/>
        </w:trPr>
        <w:tc>
          <w:tcPr>
            <w:tcW w:w="2552" w:type="dxa"/>
            <w:vAlign w:val="center"/>
          </w:tcPr>
          <w:p w14:paraId="64D02137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Video S6</w:t>
            </w:r>
          </w:p>
        </w:tc>
        <w:tc>
          <w:tcPr>
            <w:tcW w:w="13190" w:type="dxa"/>
            <w:gridSpan w:val="2"/>
            <w:vAlign w:val="center"/>
          </w:tcPr>
          <w:p w14:paraId="64D02138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Video clip of showing how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reuse codes</w:t>
            </w:r>
          </w:p>
        </w:tc>
        <w:tc>
          <w:tcPr>
            <w:tcW w:w="5086" w:type="dxa"/>
            <w:vAlign w:val="center"/>
          </w:tcPr>
          <w:p w14:paraId="64D02139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E62A9" w14:paraId="64D0213E" w14:textId="77777777">
        <w:trPr>
          <w:trHeight w:val="386"/>
        </w:trPr>
        <w:tc>
          <w:tcPr>
            <w:tcW w:w="2552" w:type="dxa"/>
            <w:vAlign w:val="center"/>
          </w:tcPr>
          <w:p w14:paraId="64D0213B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File S1</w:t>
            </w:r>
          </w:p>
        </w:tc>
        <w:tc>
          <w:tcPr>
            <w:tcW w:w="13190" w:type="dxa"/>
            <w:gridSpan w:val="2"/>
            <w:vAlign w:val="center"/>
          </w:tcPr>
          <w:p w14:paraId="64D0213C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Questionnaire on the Practical Application of the CEM-QA System</w:t>
            </w:r>
          </w:p>
        </w:tc>
        <w:tc>
          <w:tcPr>
            <w:tcW w:w="5086" w:type="dxa"/>
            <w:vAlign w:val="center"/>
          </w:tcPr>
          <w:p w14:paraId="64D0213D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5.2</w:t>
            </w:r>
          </w:p>
        </w:tc>
      </w:tr>
      <w:tr w:rsidR="007E62A9" w14:paraId="64D02142" w14:textId="77777777">
        <w:trPr>
          <w:trHeight w:val="386"/>
        </w:trPr>
        <w:tc>
          <w:tcPr>
            <w:tcW w:w="2552" w:type="dxa"/>
            <w:vAlign w:val="center"/>
          </w:tcPr>
          <w:p w14:paraId="64D0213F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File S2</w:t>
            </w:r>
          </w:p>
        </w:tc>
        <w:tc>
          <w:tcPr>
            <w:tcW w:w="13190" w:type="dxa"/>
            <w:gridSpan w:val="2"/>
            <w:vAlign w:val="center"/>
          </w:tcPr>
          <w:p w14:paraId="64D02140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Detailed tutorial for reproducing the methodology in this study</w:t>
            </w:r>
          </w:p>
        </w:tc>
        <w:tc>
          <w:tcPr>
            <w:tcW w:w="5086" w:type="dxa"/>
            <w:vAlign w:val="center"/>
          </w:tcPr>
          <w:p w14:paraId="64D02141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3.3</w:t>
            </w:r>
          </w:p>
        </w:tc>
      </w:tr>
      <w:tr w:rsidR="007E62A9" w14:paraId="64D02146" w14:textId="77777777">
        <w:trPr>
          <w:trHeight w:val="431"/>
        </w:trPr>
        <w:tc>
          <w:tcPr>
            <w:tcW w:w="2552" w:type="dxa"/>
            <w:vMerge w:val="restart"/>
            <w:vAlign w:val="center"/>
          </w:tcPr>
          <w:p w14:paraId="64D02143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CEM-EKB</w:t>
            </w:r>
          </w:p>
        </w:tc>
        <w:tc>
          <w:tcPr>
            <w:tcW w:w="13190" w:type="dxa"/>
            <w:gridSpan w:val="2"/>
            <w:vAlign w:val="center"/>
          </w:tcPr>
          <w:p w14:paraId="64D02144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Chroma-formatted vectorized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CEM-EKB</w:t>
            </w:r>
          </w:p>
        </w:tc>
        <w:tc>
          <w:tcPr>
            <w:tcW w:w="5086" w:type="dxa"/>
            <w:vAlign w:val="center"/>
          </w:tcPr>
          <w:p w14:paraId="64D02145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3.1</w:t>
            </w:r>
          </w:p>
        </w:tc>
      </w:tr>
      <w:tr w:rsidR="007E62A9" w14:paraId="64D0214A" w14:textId="77777777">
        <w:trPr>
          <w:trHeight w:val="431"/>
        </w:trPr>
        <w:tc>
          <w:tcPr>
            <w:tcW w:w="2552" w:type="dxa"/>
            <w:vMerge/>
            <w:vAlign w:val="center"/>
          </w:tcPr>
          <w:p w14:paraId="64D02147" w14:textId="77777777" w:rsidR="007E62A9" w:rsidRDefault="007E62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64D02148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FAISS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-formatted vectorized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CEM-EKB</w:t>
            </w:r>
          </w:p>
        </w:tc>
        <w:tc>
          <w:tcPr>
            <w:tcW w:w="5086" w:type="dxa"/>
            <w:vAlign w:val="center"/>
          </w:tcPr>
          <w:p w14:paraId="64D02149" w14:textId="77777777" w:rsidR="007E62A9" w:rsidRDefault="00EB7D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ection 3.1</w:t>
            </w:r>
          </w:p>
        </w:tc>
      </w:tr>
      <w:tr w:rsidR="007370A4" w14:paraId="3D89A002" w14:textId="77777777" w:rsidTr="00303224">
        <w:trPr>
          <w:trHeight w:val="28"/>
        </w:trPr>
        <w:tc>
          <w:tcPr>
            <w:tcW w:w="2552" w:type="dxa"/>
            <w:vMerge w:val="restart"/>
            <w:vAlign w:val="center"/>
          </w:tcPr>
          <w:p w14:paraId="05BD4F3B" w14:textId="5CF270EF" w:rsidR="007370A4" w:rsidRDefault="007370A4" w:rsidP="00827A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Codes</w:t>
            </w:r>
          </w:p>
        </w:tc>
        <w:tc>
          <w:tcPr>
            <w:tcW w:w="13190" w:type="dxa"/>
            <w:gridSpan w:val="2"/>
            <w:vAlign w:val="center"/>
          </w:tcPr>
          <w:p w14:paraId="5910755A" w14:textId="0CF45435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Codes for identifying candidate document entities</w:t>
            </w:r>
          </w:p>
        </w:tc>
        <w:tc>
          <w:tcPr>
            <w:tcW w:w="5086" w:type="dxa"/>
            <w:vAlign w:val="center"/>
          </w:tcPr>
          <w:p w14:paraId="6772E35F" w14:textId="1A377E3D" w:rsidR="007370A4" w:rsidRDefault="007370A4">
            <w:pPr>
              <w:spacing w:after="0" w:line="240" w:lineRule="auto"/>
              <w:rPr>
                <w:rFonts w:ascii="Times New Roman" w:hAnsi="Times New Roman" w:cs="Times New Roman" w:hint="eastAsia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Section 3.1</w:t>
            </w:r>
          </w:p>
        </w:tc>
      </w:tr>
      <w:tr w:rsidR="007370A4" w14:paraId="64D0214F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4B" w14:textId="3DDB9FCF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restart"/>
            <w:vAlign w:val="center"/>
          </w:tcPr>
          <w:p w14:paraId="64D0214C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Codes for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 xml:space="preserve"> running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original GLLM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9788" w:type="dxa"/>
            <w:vAlign w:val="center"/>
          </w:tcPr>
          <w:p w14:paraId="64D0214D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original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ERNIE-Bot 4.0 and ERNIE-Bot-turbo</w:t>
            </w:r>
          </w:p>
        </w:tc>
        <w:tc>
          <w:tcPr>
            <w:tcW w:w="5086" w:type="dxa"/>
            <w:vAlign w:val="center"/>
          </w:tcPr>
          <w:p w14:paraId="64D0214E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54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50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51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52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Codes for original GPT-3.5-turbo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GPT-4</w:t>
            </w:r>
          </w:p>
        </w:tc>
        <w:tc>
          <w:tcPr>
            <w:tcW w:w="5086" w:type="dxa"/>
            <w:vAlign w:val="center"/>
          </w:tcPr>
          <w:p w14:paraId="64D02153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59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55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56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57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original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Qwen-7B-Chat and Qwen-14B-Chat</w:t>
            </w:r>
          </w:p>
        </w:tc>
        <w:tc>
          <w:tcPr>
            <w:tcW w:w="5086" w:type="dxa"/>
            <w:vAlign w:val="center"/>
          </w:tcPr>
          <w:p w14:paraId="64D02158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5E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5A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5B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5C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original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Baichuan2-7B-Chat and Baichuan2-13B-Chat</w:t>
            </w:r>
          </w:p>
        </w:tc>
        <w:tc>
          <w:tcPr>
            <w:tcW w:w="5086" w:type="dxa"/>
            <w:vAlign w:val="center"/>
          </w:tcPr>
          <w:p w14:paraId="64D0215D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63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5F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60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61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original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ChatGLM3-6B</w:t>
            </w:r>
          </w:p>
        </w:tc>
        <w:tc>
          <w:tcPr>
            <w:tcW w:w="5086" w:type="dxa"/>
            <w:vAlign w:val="center"/>
          </w:tcPr>
          <w:p w14:paraId="64D02162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68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64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restart"/>
            <w:vAlign w:val="center"/>
          </w:tcPr>
          <w:p w14:paraId="64D02165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running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CEM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knowledge-incorporated GLLMs</w:t>
            </w:r>
          </w:p>
        </w:tc>
        <w:tc>
          <w:tcPr>
            <w:tcW w:w="9788" w:type="dxa"/>
            <w:vAlign w:val="center"/>
          </w:tcPr>
          <w:p w14:paraId="64D02166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ERNIE-Bot 4.0 and ERNIE-Bot-turbo</w:t>
            </w:r>
          </w:p>
        </w:tc>
        <w:tc>
          <w:tcPr>
            <w:tcW w:w="5086" w:type="dxa"/>
            <w:vAlign w:val="center"/>
          </w:tcPr>
          <w:p w14:paraId="64D02167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6D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69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6A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6B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GPT-3.5-turbo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GPT-4</w:t>
            </w:r>
          </w:p>
        </w:tc>
        <w:tc>
          <w:tcPr>
            <w:tcW w:w="5086" w:type="dxa"/>
            <w:vAlign w:val="center"/>
          </w:tcPr>
          <w:p w14:paraId="64D0216C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72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6E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6F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70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Qwen-7B-Chat and Qwen-14B-Chat</w:t>
            </w:r>
          </w:p>
        </w:tc>
        <w:tc>
          <w:tcPr>
            <w:tcW w:w="5086" w:type="dxa"/>
            <w:vAlign w:val="center"/>
          </w:tcPr>
          <w:p w14:paraId="64D02171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77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73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74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75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Baichuan2-7B-Chat and Baichuan2-13B-Chat</w:t>
            </w:r>
          </w:p>
        </w:tc>
        <w:tc>
          <w:tcPr>
            <w:tcW w:w="5086" w:type="dxa"/>
            <w:vAlign w:val="center"/>
          </w:tcPr>
          <w:p w14:paraId="64D02176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7C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78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79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7A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ChatGLM3-6B</w:t>
            </w:r>
          </w:p>
        </w:tc>
        <w:tc>
          <w:tcPr>
            <w:tcW w:w="5086" w:type="dxa"/>
            <w:vAlign w:val="center"/>
          </w:tcPr>
          <w:p w14:paraId="64D0217B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81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7D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restart"/>
            <w:vAlign w:val="center"/>
          </w:tcPr>
          <w:p w14:paraId="64D0217E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running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CEM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val="en-US"/>
              </w:rPr>
              <w:t>knowledge-incorporated fine-tuned GLLMs</w:t>
            </w:r>
          </w:p>
        </w:tc>
        <w:tc>
          <w:tcPr>
            <w:tcW w:w="9788" w:type="dxa"/>
            <w:vAlign w:val="center"/>
          </w:tcPr>
          <w:p w14:paraId="64D0217F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fine-tuned ERNIE-Bot-turbo</w:t>
            </w:r>
          </w:p>
        </w:tc>
        <w:tc>
          <w:tcPr>
            <w:tcW w:w="5086" w:type="dxa"/>
            <w:vAlign w:val="center"/>
          </w:tcPr>
          <w:p w14:paraId="64D02180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86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82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83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84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fine-tuned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GPT-3.5-turbo</w:t>
            </w:r>
          </w:p>
        </w:tc>
        <w:tc>
          <w:tcPr>
            <w:tcW w:w="5086" w:type="dxa"/>
            <w:vAlign w:val="center"/>
          </w:tcPr>
          <w:p w14:paraId="64D02185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8B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87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88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89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fine-tuned Qwen-7B-Chat and Qwen-14B-Chat</w:t>
            </w:r>
          </w:p>
        </w:tc>
        <w:tc>
          <w:tcPr>
            <w:tcW w:w="5086" w:type="dxa"/>
            <w:vAlign w:val="center"/>
          </w:tcPr>
          <w:p w14:paraId="64D0218A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90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8C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8D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8E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fine-tuned Baichuan2-7B-Chat and Baichuan2-13B-Chat</w:t>
            </w:r>
          </w:p>
        </w:tc>
        <w:tc>
          <w:tcPr>
            <w:tcW w:w="5086" w:type="dxa"/>
            <w:vAlign w:val="center"/>
          </w:tcPr>
          <w:p w14:paraId="64D0218F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95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91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/>
            <w:vAlign w:val="center"/>
          </w:tcPr>
          <w:p w14:paraId="64D02192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64D02193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Codes for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CEM knowledge-incorporated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fine-tuned ChatGLM3-6B</w:t>
            </w:r>
          </w:p>
        </w:tc>
        <w:tc>
          <w:tcPr>
            <w:tcW w:w="5086" w:type="dxa"/>
            <w:vAlign w:val="center"/>
          </w:tcPr>
          <w:p w14:paraId="64D02194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 3.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7370A4" w14:paraId="64D02199" w14:textId="77777777">
        <w:trPr>
          <w:trHeight w:val="28"/>
        </w:trPr>
        <w:tc>
          <w:tcPr>
            <w:tcW w:w="2552" w:type="dxa"/>
            <w:vMerge/>
            <w:vAlign w:val="center"/>
          </w:tcPr>
          <w:p w14:paraId="64D02196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64D02197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Codes for deploying and running the CEM-QA prototype</w:t>
            </w:r>
          </w:p>
        </w:tc>
        <w:tc>
          <w:tcPr>
            <w:tcW w:w="5086" w:type="dxa"/>
            <w:vAlign w:val="center"/>
          </w:tcPr>
          <w:p w14:paraId="64D02198" w14:textId="77777777" w:rsidR="007370A4" w:rsidRDefault="007370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5.2</w:t>
            </w:r>
          </w:p>
        </w:tc>
      </w:tr>
    </w:tbl>
    <w:p w14:paraId="64D0219A" w14:textId="77777777" w:rsidR="007E62A9" w:rsidRDefault="00EB7D76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Due to too many </w:t>
      </w:r>
      <w:r>
        <w:rPr>
          <w:rFonts w:ascii="Times New Roman" w:hAnsi="Times New Roman" w:cs="Times New Roman" w:hint="eastAsia"/>
          <w:sz w:val="30"/>
          <w:szCs w:val="30"/>
        </w:rPr>
        <w:t>materials,</w:t>
      </w:r>
      <w:r>
        <w:rPr>
          <w:rFonts w:ascii="Times New Roman" w:hAnsi="Times New Roman" w:cs="Times New Roman"/>
          <w:sz w:val="30"/>
          <w:szCs w:val="30"/>
        </w:rPr>
        <w:t xml:space="preserve"> all supplemental materials are provided in </w:t>
      </w:r>
      <w:r>
        <w:rPr>
          <w:rFonts w:ascii="Times New Roman" w:hAnsi="Times New Roman" w:cs="Times New Roman" w:hint="eastAsia"/>
          <w:sz w:val="30"/>
          <w:szCs w:val="30"/>
        </w:rPr>
        <w:t xml:space="preserve">the </w:t>
      </w:r>
      <w:r>
        <w:rPr>
          <w:rFonts w:ascii="Times New Roman" w:hAnsi="Times New Roman" w:cs="Times New Roman"/>
          <w:sz w:val="30"/>
          <w:szCs w:val="30"/>
        </w:rPr>
        <w:t>Git</w:t>
      </w:r>
      <w:r>
        <w:rPr>
          <w:rFonts w:ascii="Times New Roman" w:hAnsi="Times New Roman" w:cs="Times New Roman" w:hint="eastAsia"/>
          <w:sz w:val="30"/>
          <w:szCs w:val="30"/>
        </w:rPr>
        <w:t>H</w:t>
      </w:r>
      <w:r>
        <w:rPr>
          <w:rFonts w:ascii="Times New Roman" w:hAnsi="Times New Roman" w:cs="Times New Roman"/>
          <w:sz w:val="30"/>
          <w:szCs w:val="30"/>
        </w:rPr>
        <w:t>ub repository (</w:t>
      </w:r>
      <w:hyperlink r:id="rId7" w:history="1">
        <w:r>
          <w:rPr>
            <w:rStyle w:val="ad"/>
            <w:rFonts w:ascii="Times New Roman" w:hAnsi="Times New Roman" w:cs="Times New Roman"/>
            <w:sz w:val="30"/>
            <w:szCs w:val="30"/>
          </w:rPr>
          <w:t>https://github.com/0AnonymousSite0/QA_for_CEM</w:t>
        </w:r>
      </w:hyperlink>
      <w:r>
        <w:rPr>
          <w:rFonts w:ascii="Times New Roman" w:hAnsi="Times New Roman" w:cs="Times New Roman"/>
          <w:sz w:val="30"/>
          <w:szCs w:val="30"/>
        </w:rPr>
        <w:t>). Besides the Git</w:t>
      </w:r>
      <w:r>
        <w:rPr>
          <w:rFonts w:ascii="Times New Roman" w:hAnsi="Times New Roman" w:cs="Times New Roman" w:hint="eastAsia"/>
          <w:sz w:val="30"/>
          <w:szCs w:val="30"/>
        </w:rPr>
        <w:t>H</w:t>
      </w:r>
      <w:r>
        <w:rPr>
          <w:rFonts w:ascii="Times New Roman" w:hAnsi="Times New Roman" w:cs="Times New Roman"/>
          <w:sz w:val="30"/>
          <w:szCs w:val="30"/>
        </w:rPr>
        <w:t xml:space="preserve">ub repository, the </w:t>
      </w:r>
      <w:r>
        <w:rPr>
          <w:rFonts w:ascii="Times New Roman" w:hAnsi="Times New Roman" w:cs="Times New Roman" w:hint="eastAsia"/>
          <w:sz w:val="30"/>
          <w:szCs w:val="30"/>
        </w:rPr>
        <w:t>CEM-</w:t>
      </w:r>
      <w:r>
        <w:rPr>
          <w:rFonts w:ascii="Times New Roman" w:hAnsi="Times New Roman" w:cs="Times New Roman"/>
          <w:sz w:val="30"/>
          <w:szCs w:val="30"/>
        </w:rPr>
        <w:t xml:space="preserve">QA </w:t>
      </w:r>
      <w:r>
        <w:rPr>
          <w:rFonts w:ascii="Times New Roman" w:hAnsi="Times New Roman" w:cs="Times New Roman" w:hint="eastAsia"/>
          <w:sz w:val="30"/>
          <w:szCs w:val="30"/>
        </w:rPr>
        <w:t>test dataset is</w:t>
      </w:r>
      <w:r>
        <w:rPr>
          <w:rFonts w:ascii="Times New Roman" w:hAnsi="Times New Roman" w:cs="Times New Roman"/>
          <w:sz w:val="30"/>
          <w:szCs w:val="30"/>
        </w:rPr>
        <w:t xml:space="preserve"> shared in </w:t>
      </w:r>
      <w:r>
        <w:rPr>
          <w:rFonts w:ascii="Times New Roman" w:hAnsi="Times New Roman" w:cs="Times New Roman" w:hint="eastAsia"/>
          <w:sz w:val="30"/>
          <w:szCs w:val="30"/>
          <w:lang w:val="en-US"/>
        </w:rPr>
        <w:t>two</w:t>
      </w:r>
      <w:r>
        <w:rPr>
          <w:rFonts w:ascii="Times New Roman" w:hAnsi="Times New Roman" w:cs="Times New Roman" w:hint="eastAsia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Hugging Face repositor</w:t>
      </w:r>
      <w:proofErr w:type="spellStart"/>
      <w:r>
        <w:rPr>
          <w:rFonts w:ascii="Times New Roman" w:hAnsi="Times New Roman" w:cs="Times New Roman" w:hint="eastAsia"/>
          <w:sz w:val="30"/>
          <w:szCs w:val="30"/>
          <w:lang w:val="en-US"/>
        </w:rPr>
        <w:t>ies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 w:hint="eastAsia"/>
          <w:sz w:val="30"/>
          <w:szCs w:val="30"/>
        </w:rPr>
        <w:t>(</w:t>
      </w:r>
      <w:hyperlink r:id="rId8" w:history="1">
        <w:r>
          <w:rPr>
            <w:rStyle w:val="ad"/>
            <w:rFonts w:ascii="Times New Roman" w:hAnsi="Times New Roman" w:cs="Times New Roman"/>
            <w:sz w:val="30"/>
            <w:szCs w:val="30"/>
          </w:rPr>
          <w:t>https://huggingface.co/datasets/AnonymousSite/QA_test_dataset_for_CEM_MCQs</w:t>
        </w:r>
      </w:hyperlink>
      <w:r>
        <w:rPr>
          <w:rFonts w:ascii="Times New Roman" w:hAnsi="Times New Roman" w:cs="Times New Roman" w:hint="eastAsia"/>
          <w:sz w:val="30"/>
          <w:szCs w:val="30"/>
        </w:rPr>
        <w:t>)</w:t>
      </w:r>
      <w:r>
        <w:rPr>
          <w:rFonts w:ascii="Times New Roman" w:hAnsi="Times New Roman" w:cs="Times New Roman" w:hint="eastAsia"/>
          <w:sz w:val="30"/>
          <w:szCs w:val="30"/>
          <w:lang w:val="en-US"/>
        </w:rPr>
        <w:t xml:space="preserve"> and </w:t>
      </w:r>
      <w:r>
        <w:rPr>
          <w:rFonts w:ascii="Times New Roman" w:hAnsi="Times New Roman" w:cs="Times New Roman" w:hint="eastAsia"/>
          <w:sz w:val="30"/>
          <w:szCs w:val="30"/>
        </w:rPr>
        <w:t>(</w:t>
      </w:r>
      <w:hyperlink r:id="rId9" w:history="1">
        <w:r>
          <w:rPr>
            <w:rStyle w:val="ad"/>
            <w:rFonts w:ascii="Times New Roman" w:hAnsi="Times New Roman" w:cs="Times New Roman"/>
            <w:sz w:val="30"/>
            <w:szCs w:val="30"/>
          </w:rPr>
          <w:t>https://huggingface.co/datasets/AnonymousSite/QA_test_dataset_for_CEM_CBQs</w:t>
        </w:r>
      </w:hyperlink>
      <w:r>
        <w:rPr>
          <w:rFonts w:ascii="Times New Roman" w:hAnsi="Times New Roman" w:cs="Times New Roman" w:hint="eastAsia"/>
          <w:sz w:val="30"/>
          <w:szCs w:val="30"/>
        </w:rPr>
        <w:t>)</w:t>
      </w:r>
    </w:p>
    <w:sectPr w:rsidR="007E62A9">
      <w:pgSz w:w="23811" w:h="16838" w:orient="landscape"/>
      <w:pgMar w:top="1800" w:right="1440" w:bottom="180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0219D" w14:textId="77777777" w:rsidR="007E62A9" w:rsidRDefault="00EB7D76">
      <w:pPr>
        <w:spacing w:line="240" w:lineRule="auto"/>
      </w:pPr>
      <w:r>
        <w:separator/>
      </w:r>
    </w:p>
  </w:endnote>
  <w:endnote w:type="continuationSeparator" w:id="0">
    <w:p w14:paraId="64D0219E" w14:textId="77777777" w:rsidR="007E62A9" w:rsidRDefault="00EB7D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0219B" w14:textId="77777777" w:rsidR="007E62A9" w:rsidRDefault="00EB7D76">
      <w:pPr>
        <w:spacing w:after="0"/>
      </w:pPr>
      <w:r>
        <w:separator/>
      </w:r>
    </w:p>
  </w:footnote>
  <w:footnote w:type="continuationSeparator" w:id="0">
    <w:p w14:paraId="64D0219C" w14:textId="77777777" w:rsidR="007E62A9" w:rsidRDefault="00EB7D76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U0NTE3N7QwMDQxMjZW0lEKTi0uzszPAykwNKkFAKu4+u0tAAAA"/>
    <w:docVar w:name="commondata" w:val="eyJoZGlkIjoiYWUxODA2ZmQ2YzNjYjliNjk4NmE0MDdlMmM1MzcxMzAifQ=="/>
  </w:docVars>
  <w:rsids>
    <w:rsidRoot w:val="002E5BE3"/>
    <w:rsid w:val="000153E8"/>
    <w:rsid w:val="00015B77"/>
    <w:rsid w:val="000339A2"/>
    <w:rsid w:val="000467FA"/>
    <w:rsid w:val="00056BEC"/>
    <w:rsid w:val="000575C3"/>
    <w:rsid w:val="00063D1F"/>
    <w:rsid w:val="00090DAD"/>
    <w:rsid w:val="000910EB"/>
    <w:rsid w:val="00096FC6"/>
    <w:rsid w:val="000A02D5"/>
    <w:rsid w:val="000A4557"/>
    <w:rsid w:val="000A6001"/>
    <w:rsid w:val="000C0E19"/>
    <w:rsid w:val="000C3E14"/>
    <w:rsid w:val="000D5842"/>
    <w:rsid w:val="000D7F0F"/>
    <w:rsid w:val="000F0D3C"/>
    <w:rsid w:val="000F3629"/>
    <w:rsid w:val="000F4173"/>
    <w:rsid w:val="0010261A"/>
    <w:rsid w:val="00116E37"/>
    <w:rsid w:val="00120D1D"/>
    <w:rsid w:val="0012691C"/>
    <w:rsid w:val="001521AE"/>
    <w:rsid w:val="00153BE5"/>
    <w:rsid w:val="001548C4"/>
    <w:rsid w:val="001631A9"/>
    <w:rsid w:val="00171CED"/>
    <w:rsid w:val="001756A9"/>
    <w:rsid w:val="001819E5"/>
    <w:rsid w:val="001A68EF"/>
    <w:rsid w:val="001B0A1B"/>
    <w:rsid w:val="001B38C8"/>
    <w:rsid w:val="001C6E12"/>
    <w:rsid w:val="001D1105"/>
    <w:rsid w:val="001D70E5"/>
    <w:rsid w:val="001D714A"/>
    <w:rsid w:val="001E11F1"/>
    <w:rsid w:val="001E5BBD"/>
    <w:rsid w:val="001E7642"/>
    <w:rsid w:val="001F47BC"/>
    <w:rsid w:val="002257EE"/>
    <w:rsid w:val="00225C6D"/>
    <w:rsid w:val="002263CD"/>
    <w:rsid w:val="00241248"/>
    <w:rsid w:val="002447BF"/>
    <w:rsid w:val="0025266D"/>
    <w:rsid w:val="00253268"/>
    <w:rsid w:val="0025467A"/>
    <w:rsid w:val="00271E79"/>
    <w:rsid w:val="00273E64"/>
    <w:rsid w:val="002859CA"/>
    <w:rsid w:val="002906A5"/>
    <w:rsid w:val="00290D49"/>
    <w:rsid w:val="002B459C"/>
    <w:rsid w:val="002B78D6"/>
    <w:rsid w:val="002C6040"/>
    <w:rsid w:val="002C6AC9"/>
    <w:rsid w:val="002C7F29"/>
    <w:rsid w:val="002D3FE1"/>
    <w:rsid w:val="002E579E"/>
    <w:rsid w:val="002E5BE3"/>
    <w:rsid w:val="002E62D7"/>
    <w:rsid w:val="00301473"/>
    <w:rsid w:val="00302F97"/>
    <w:rsid w:val="003065D1"/>
    <w:rsid w:val="00315648"/>
    <w:rsid w:val="00316976"/>
    <w:rsid w:val="003262AB"/>
    <w:rsid w:val="00333093"/>
    <w:rsid w:val="003466BE"/>
    <w:rsid w:val="0036236E"/>
    <w:rsid w:val="00364FC2"/>
    <w:rsid w:val="003761B2"/>
    <w:rsid w:val="0038428B"/>
    <w:rsid w:val="00391C62"/>
    <w:rsid w:val="00393146"/>
    <w:rsid w:val="003954BE"/>
    <w:rsid w:val="003A24AA"/>
    <w:rsid w:val="003B4D3B"/>
    <w:rsid w:val="003C456C"/>
    <w:rsid w:val="003C5370"/>
    <w:rsid w:val="003C68BC"/>
    <w:rsid w:val="003F77BF"/>
    <w:rsid w:val="0040187E"/>
    <w:rsid w:val="0040428D"/>
    <w:rsid w:val="004137B5"/>
    <w:rsid w:val="0041707C"/>
    <w:rsid w:val="00430572"/>
    <w:rsid w:val="004340D3"/>
    <w:rsid w:val="00434DBE"/>
    <w:rsid w:val="00442C2B"/>
    <w:rsid w:val="00443A38"/>
    <w:rsid w:val="00462B73"/>
    <w:rsid w:val="004631DC"/>
    <w:rsid w:val="0047307E"/>
    <w:rsid w:val="004770F4"/>
    <w:rsid w:val="004857EA"/>
    <w:rsid w:val="00485C8D"/>
    <w:rsid w:val="00492AAB"/>
    <w:rsid w:val="004970CA"/>
    <w:rsid w:val="004A16AC"/>
    <w:rsid w:val="004B30F3"/>
    <w:rsid w:val="004B6159"/>
    <w:rsid w:val="004C3B75"/>
    <w:rsid w:val="004D12EA"/>
    <w:rsid w:val="004D619D"/>
    <w:rsid w:val="004E04AE"/>
    <w:rsid w:val="004E20C9"/>
    <w:rsid w:val="004F551A"/>
    <w:rsid w:val="004F6988"/>
    <w:rsid w:val="0050102E"/>
    <w:rsid w:val="0051058B"/>
    <w:rsid w:val="00511674"/>
    <w:rsid w:val="005164BC"/>
    <w:rsid w:val="00517F46"/>
    <w:rsid w:val="005258E7"/>
    <w:rsid w:val="00531288"/>
    <w:rsid w:val="00536616"/>
    <w:rsid w:val="00536A59"/>
    <w:rsid w:val="005378CC"/>
    <w:rsid w:val="0054389E"/>
    <w:rsid w:val="00550561"/>
    <w:rsid w:val="00556439"/>
    <w:rsid w:val="00563F99"/>
    <w:rsid w:val="00566365"/>
    <w:rsid w:val="005773AC"/>
    <w:rsid w:val="005813A8"/>
    <w:rsid w:val="005E3695"/>
    <w:rsid w:val="005E6CA0"/>
    <w:rsid w:val="00604A64"/>
    <w:rsid w:val="00620869"/>
    <w:rsid w:val="0063563C"/>
    <w:rsid w:val="00653E1A"/>
    <w:rsid w:val="006621B5"/>
    <w:rsid w:val="00663867"/>
    <w:rsid w:val="0066698F"/>
    <w:rsid w:val="00670C80"/>
    <w:rsid w:val="006843E8"/>
    <w:rsid w:val="00693865"/>
    <w:rsid w:val="00696AEE"/>
    <w:rsid w:val="006A2EEE"/>
    <w:rsid w:val="006A4894"/>
    <w:rsid w:val="006A67EC"/>
    <w:rsid w:val="006A7257"/>
    <w:rsid w:val="006B118E"/>
    <w:rsid w:val="006C1820"/>
    <w:rsid w:val="006C1E66"/>
    <w:rsid w:val="006C79B4"/>
    <w:rsid w:val="006D3823"/>
    <w:rsid w:val="006D452B"/>
    <w:rsid w:val="006D5D26"/>
    <w:rsid w:val="006D6772"/>
    <w:rsid w:val="006F2CA4"/>
    <w:rsid w:val="007007CA"/>
    <w:rsid w:val="007307B8"/>
    <w:rsid w:val="00730C8E"/>
    <w:rsid w:val="007370A4"/>
    <w:rsid w:val="0074067E"/>
    <w:rsid w:val="0075114C"/>
    <w:rsid w:val="00755C85"/>
    <w:rsid w:val="00776FC0"/>
    <w:rsid w:val="007A3E63"/>
    <w:rsid w:val="007B2523"/>
    <w:rsid w:val="007C1540"/>
    <w:rsid w:val="007C2259"/>
    <w:rsid w:val="007E4721"/>
    <w:rsid w:val="007E62A9"/>
    <w:rsid w:val="007F2381"/>
    <w:rsid w:val="00803B25"/>
    <w:rsid w:val="00812051"/>
    <w:rsid w:val="00823EC6"/>
    <w:rsid w:val="00827C89"/>
    <w:rsid w:val="00831426"/>
    <w:rsid w:val="00834B8F"/>
    <w:rsid w:val="00837BBD"/>
    <w:rsid w:val="00855F75"/>
    <w:rsid w:val="008807E5"/>
    <w:rsid w:val="00880EAE"/>
    <w:rsid w:val="00881568"/>
    <w:rsid w:val="0088411B"/>
    <w:rsid w:val="00891706"/>
    <w:rsid w:val="00897747"/>
    <w:rsid w:val="008B1327"/>
    <w:rsid w:val="008C30A6"/>
    <w:rsid w:val="008C6E1A"/>
    <w:rsid w:val="008D4574"/>
    <w:rsid w:val="008D68D8"/>
    <w:rsid w:val="008D6F7B"/>
    <w:rsid w:val="008E4680"/>
    <w:rsid w:val="00902925"/>
    <w:rsid w:val="00915BBC"/>
    <w:rsid w:val="0093789F"/>
    <w:rsid w:val="00945E72"/>
    <w:rsid w:val="00950293"/>
    <w:rsid w:val="009512D0"/>
    <w:rsid w:val="00953102"/>
    <w:rsid w:val="00953E8D"/>
    <w:rsid w:val="009716C7"/>
    <w:rsid w:val="00976D6D"/>
    <w:rsid w:val="009771B6"/>
    <w:rsid w:val="00997789"/>
    <w:rsid w:val="00997FB5"/>
    <w:rsid w:val="009A51E4"/>
    <w:rsid w:val="009A6D9E"/>
    <w:rsid w:val="009B0BDD"/>
    <w:rsid w:val="009C3296"/>
    <w:rsid w:val="009C3561"/>
    <w:rsid w:val="009C5DAD"/>
    <w:rsid w:val="009D1DFA"/>
    <w:rsid w:val="009D7482"/>
    <w:rsid w:val="009E174F"/>
    <w:rsid w:val="009F0595"/>
    <w:rsid w:val="009F1AFF"/>
    <w:rsid w:val="00A25F82"/>
    <w:rsid w:val="00A3093E"/>
    <w:rsid w:val="00A3781B"/>
    <w:rsid w:val="00A419E9"/>
    <w:rsid w:val="00A44379"/>
    <w:rsid w:val="00A46F12"/>
    <w:rsid w:val="00A54286"/>
    <w:rsid w:val="00A658FE"/>
    <w:rsid w:val="00A72ADA"/>
    <w:rsid w:val="00A953F7"/>
    <w:rsid w:val="00AA1EFC"/>
    <w:rsid w:val="00AB77A9"/>
    <w:rsid w:val="00AC1579"/>
    <w:rsid w:val="00AC3E89"/>
    <w:rsid w:val="00AC46CD"/>
    <w:rsid w:val="00AC5072"/>
    <w:rsid w:val="00AD0066"/>
    <w:rsid w:val="00AD5AC1"/>
    <w:rsid w:val="00AD6E22"/>
    <w:rsid w:val="00AE1BF6"/>
    <w:rsid w:val="00AE7340"/>
    <w:rsid w:val="00AF1770"/>
    <w:rsid w:val="00AF20CD"/>
    <w:rsid w:val="00B004F4"/>
    <w:rsid w:val="00B038D7"/>
    <w:rsid w:val="00B068A5"/>
    <w:rsid w:val="00B10AF3"/>
    <w:rsid w:val="00B15CE0"/>
    <w:rsid w:val="00B20F0A"/>
    <w:rsid w:val="00B24902"/>
    <w:rsid w:val="00B37614"/>
    <w:rsid w:val="00B46924"/>
    <w:rsid w:val="00B5661F"/>
    <w:rsid w:val="00B66D9B"/>
    <w:rsid w:val="00B73396"/>
    <w:rsid w:val="00B73473"/>
    <w:rsid w:val="00B76EFB"/>
    <w:rsid w:val="00B95AEA"/>
    <w:rsid w:val="00BA02C0"/>
    <w:rsid w:val="00BA0D9F"/>
    <w:rsid w:val="00BA2FF2"/>
    <w:rsid w:val="00BA6ADA"/>
    <w:rsid w:val="00BB29A0"/>
    <w:rsid w:val="00BB4FAB"/>
    <w:rsid w:val="00BB6765"/>
    <w:rsid w:val="00BC45D4"/>
    <w:rsid w:val="00BC61F0"/>
    <w:rsid w:val="00BE6C57"/>
    <w:rsid w:val="00BF4CA4"/>
    <w:rsid w:val="00C138BE"/>
    <w:rsid w:val="00C24FB1"/>
    <w:rsid w:val="00C25BD2"/>
    <w:rsid w:val="00C27143"/>
    <w:rsid w:val="00C334B6"/>
    <w:rsid w:val="00C34B69"/>
    <w:rsid w:val="00C42888"/>
    <w:rsid w:val="00C52D26"/>
    <w:rsid w:val="00C55F9C"/>
    <w:rsid w:val="00C57C01"/>
    <w:rsid w:val="00C8615E"/>
    <w:rsid w:val="00C8644B"/>
    <w:rsid w:val="00C86AAF"/>
    <w:rsid w:val="00C86C18"/>
    <w:rsid w:val="00C90658"/>
    <w:rsid w:val="00C94287"/>
    <w:rsid w:val="00CA3736"/>
    <w:rsid w:val="00CA51E7"/>
    <w:rsid w:val="00CC4745"/>
    <w:rsid w:val="00CD2367"/>
    <w:rsid w:val="00CD2CAA"/>
    <w:rsid w:val="00CD3823"/>
    <w:rsid w:val="00CD48CE"/>
    <w:rsid w:val="00CD5525"/>
    <w:rsid w:val="00CD767C"/>
    <w:rsid w:val="00CF32F7"/>
    <w:rsid w:val="00CF4F3E"/>
    <w:rsid w:val="00D1017A"/>
    <w:rsid w:val="00D12BE9"/>
    <w:rsid w:val="00D2332E"/>
    <w:rsid w:val="00D3359B"/>
    <w:rsid w:val="00D41FDF"/>
    <w:rsid w:val="00D458B0"/>
    <w:rsid w:val="00D52155"/>
    <w:rsid w:val="00D52C1E"/>
    <w:rsid w:val="00D56CE6"/>
    <w:rsid w:val="00D60773"/>
    <w:rsid w:val="00D61B87"/>
    <w:rsid w:val="00D67403"/>
    <w:rsid w:val="00D82796"/>
    <w:rsid w:val="00D91EA1"/>
    <w:rsid w:val="00DA34EC"/>
    <w:rsid w:val="00DA4410"/>
    <w:rsid w:val="00DA658B"/>
    <w:rsid w:val="00DC1F15"/>
    <w:rsid w:val="00DC7CFB"/>
    <w:rsid w:val="00DD7B3F"/>
    <w:rsid w:val="00DD7BAF"/>
    <w:rsid w:val="00DE10D1"/>
    <w:rsid w:val="00DE3ECB"/>
    <w:rsid w:val="00DE56F4"/>
    <w:rsid w:val="00E049B4"/>
    <w:rsid w:val="00E232AF"/>
    <w:rsid w:val="00E3297D"/>
    <w:rsid w:val="00E543E9"/>
    <w:rsid w:val="00E73C69"/>
    <w:rsid w:val="00E7494C"/>
    <w:rsid w:val="00E76AC2"/>
    <w:rsid w:val="00E82E94"/>
    <w:rsid w:val="00E841D4"/>
    <w:rsid w:val="00E863FB"/>
    <w:rsid w:val="00E95EA1"/>
    <w:rsid w:val="00EA1AEC"/>
    <w:rsid w:val="00EB7D76"/>
    <w:rsid w:val="00EC396D"/>
    <w:rsid w:val="00EC63F8"/>
    <w:rsid w:val="00ED069B"/>
    <w:rsid w:val="00ED5A38"/>
    <w:rsid w:val="00EE7ACA"/>
    <w:rsid w:val="00EF38CF"/>
    <w:rsid w:val="00F04A80"/>
    <w:rsid w:val="00F5098D"/>
    <w:rsid w:val="00F5350B"/>
    <w:rsid w:val="00F56683"/>
    <w:rsid w:val="00F75BE2"/>
    <w:rsid w:val="00FB6090"/>
    <w:rsid w:val="00FB6ED1"/>
    <w:rsid w:val="00FB72E0"/>
    <w:rsid w:val="00FB78DC"/>
    <w:rsid w:val="00FB7B13"/>
    <w:rsid w:val="00FD6F04"/>
    <w:rsid w:val="00FE6581"/>
    <w:rsid w:val="00FE6F52"/>
    <w:rsid w:val="00FF13AD"/>
    <w:rsid w:val="00FF2B9F"/>
    <w:rsid w:val="00FF662C"/>
    <w:rsid w:val="23433C99"/>
    <w:rsid w:val="59917A5C"/>
    <w:rsid w:val="65580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D02095"/>
  <w14:defaultImageDpi w14:val="32767"/>
  <w15:docId w15:val="{983E5D0C-EE54-429C-B976-93BD020C7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5">
    <w:name w:val="footer"/>
    <w:basedOn w:val="a"/>
    <w:link w:val="a6"/>
    <w:autoRedefine/>
    <w:uiPriority w:val="99"/>
    <w:unhideWhenUsed/>
    <w:pPr>
      <w:tabs>
        <w:tab w:val="center" w:pos="4153"/>
        <w:tab w:val="right" w:pos="8306"/>
      </w:tabs>
      <w:spacing w:after="0" w:line="240" w:lineRule="auto"/>
    </w:p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pacing w:after="0" w:line="240" w:lineRule="auto"/>
    </w:pPr>
  </w:style>
  <w:style w:type="paragraph" w:styleId="a9">
    <w:name w:val="annotation subject"/>
    <w:basedOn w:val="a3"/>
    <w:next w:val="a3"/>
    <w:link w:val="aa"/>
    <w:uiPriority w:val="99"/>
    <w:semiHidden/>
    <w:unhideWhenUsed/>
    <w:qFormat/>
    <w:rPr>
      <w:b/>
      <w:bCs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d">
    <w:name w:val="Hyperlink"/>
    <w:basedOn w:val="a0"/>
    <w:autoRedefine/>
    <w:uiPriority w:val="99"/>
    <w:unhideWhenUsed/>
    <w:rPr>
      <w:color w:val="0563C1" w:themeColor="hyperlink"/>
      <w:u w:val="single"/>
    </w:rPr>
  </w:style>
  <w:style w:type="character" w:styleId="ae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customStyle="1" w:styleId="a8">
    <w:name w:val="页眉 字符"/>
    <w:basedOn w:val="a0"/>
    <w:link w:val="a7"/>
    <w:uiPriority w:val="99"/>
  </w:style>
  <w:style w:type="character" w:customStyle="1" w:styleId="a6">
    <w:name w:val="页脚 字符"/>
    <w:basedOn w:val="a0"/>
    <w:link w:val="a5"/>
    <w:uiPriority w:val="99"/>
    <w:qFormat/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4">
    <w:name w:val="批注文字 字符"/>
    <w:basedOn w:val="a0"/>
    <w:link w:val="a3"/>
    <w:uiPriority w:val="99"/>
    <w:semiHidden/>
    <w:qFormat/>
    <w:rPr>
      <w:lang w:val="en-GB"/>
    </w:rPr>
  </w:style>
  <w:style w:type="character" w:customStyle="1" w:styleId="aa">
    <w:name w:val="批注主题 字符"/>
    <w:basedOn w:val="a4"/>
    <w:link w:val="a9"/>
    <w:uiPriority w:val="99"/>
    <w:semiHidden/>
    <w:rPr>
      <w:b/>
      <w:bCs/>
      <w:lang w:val="en-GB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10">
    <w:name w:val="修订1"/>
    <w:hidden/>
    <w:uiPriority w:val="99"/>
    <w:semiHidden/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datasets/AnonymousSite/QA_test_dataset_for_CEM_MCQ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0AnonymousSite0/QA_for_CE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datasets/AnonymousSite/QA_test_dataset_for_CEM_CBQs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F5FEDD-13E6-45A7-9D9C-38887C86212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</TotalTime>
  <Pages>2</Pages>
  <Words>742</Words>
  <Characters>4696</Characters>
  <Application>Microsoft Office Word</Application>
  <DocSecurity>0</DocSecurity>
  <Lines>234</Lines>
  <Paragraphs>139</Paragraphs>
  <ScaleCrop>false</ScaleCrop>
  <Company/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周圣华</dc:creator>
  <cp:lastModifiedBy>雪凡 刘</cp:lastModifiedBy>
  <cp:revision>187</cp:revision>
  <cp:lastPrinted>2024-07-22T03:51:00Z</cp:lastPrinted>
  <dcterms:created xsi:type="dcterms:W3CDTF">2024-02-04T10:57:00Z</dcterms:created>
  <dcterms:modified xsi:type="dcterms:W3CDTF">2025-02-21T11:20:00Z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1008E292AB5247E28E53CE9F58818D01_13</vt:lpwstr>
  </property>
  <property fmtid="{D5CDD505-2E9C-101B-9397-08002B2CF9AE}" pid="4" name="KSOTemplateDocerSaveRecord">
    <vt:lpwstr>eyJoZGlkIjoiNmU1OTJmYTg1YTYzNmI5YTc4YTMyYjQ2M2NlYTMxNWMiLCJ1c2VySWQiOiIxNDYxNDIzNTM0In0=</vt:lpwstr>
  </property>
</Properties>
</file>