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Supplementary Tables</w:t>
      </w:r>
    </w:p>
    <w:p>
      <w:pPr>
        <w:pStyle w:val="Heading2"/>
      </w:pPr>
      <w:r>
        <w:t xml:space="preserve">Supplementary Table S1. Survey-weighted P01 sensitivity models</w:t>
      </w:r>
    </w:p>
    <w:p>
      <w:pPr>
        <w:pStyle w:val="Normal"/>
      </w:pPr>
      <w:r>
        <w:t xml:space="preserve">Survey-weighted sensitivity models used WTMEC2YR, SDMVSTRA, and SDMVPSU.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fill="D9EAF7"/>
          </w:tcPr>
          <w:p>
            <w:r>
              <w:t xml:space="preserve">Model</w:t>
            </w:r>
          </w:p>
        </w:tc>
        <w:tc>
          <w:tcPr>
            <w:tcW w:w="1500" w:type="dxa"/>
            <w:shd w:fill="D9EAF7"/>
          </w:tcPr>
          <w:p>
            <w:r>
              <w:t xml:space="preserve">N</w:t>
            </w:r>
          </w:p>
        </w:tc>
        <w:tc>
          <w:tcPr>
            <w:tcW w:w="1500" w:type="dxa"/>
            <w:shd w:fill="D9EAF7"/>
          </w:tcPr>
          <w:p>
            <w:r>
              <w:t xml:space="preserve">P01 β</w:t>
            </w:r>
          </w:p>
        </w:tc>
        <w:tc>
          <w:tcPr>
            <w:tcW w:w="1500" w:type="dxa"/>
            <w:shd w:fill="D9EAF7"/>
          </w:tcPr>
          <w:p>
            <w:r>
              <w:t xml:space="preserve">SE</w:t>
            </w:r>
          </w:p>
        </w:tc>
        <w:tc>
          <w:tcPr>
            <w:tcW w:w="1500" w:type="dxa"/>
            <w:shd w:fill="D9EAF7"/>
          </w:tcPr>
          <w:p>
            <w:r>
              <w:t xml:space="preserve">95% CI</w:t>
            </w:r>
          </w:p>
        </w:tc>
        <w:tc>
          <w:tcPr>
            <w:tcW w:w="1500" w:type="dxa"/>
            <w:shd w:fill="D9EAF7"/>
          </w:tcPr>
          <w:p>
            <w:r>
              <w:t xml:space="preserve">p</w:t>
            </w:r>
          </w:p>
        </w:tc>
      </w:tr>
      <w:tr>
        <w:tc>
          <w:tcPr>
            <w:tcW w:w="1500" w:type="dxa"/>
          </w:tcPr>
          <w:p>
            <w:r>
              <w:t xml:space="preserve">Model 1</w:t>
            </w:r>
          </w:p>
        </w:tc>
        <w:tc>
          <w:tcPr>
            <w:tcW w:w="1500" w:type="dxa"/>
          </w:tcPr>
          <w:p>
            <w:r>
              <w:t xml:space="preserve">4,508</w:t>
            </w:r>
          </w:p>
        </w:tc>
        <w:tc>
          <w:tcPr>
            <w:tcW w:w="1500" w:type="dxa"/>
          </w:tcPr>
          <w:p>
            <w:r>
              <w:t xml:space="preserve">10.197</w:t>
            </w:r>
          </w:p>
        </w:tc>
        <w:tc>
          <w:tcPr>
            <w:tcW w:w="1500" w:type="dxa"/>
          </w:tcPr>
          <w:p>
            <w:r>
              <w:t xml:space="preserve">1.912</w:t>
            </w:r>
          </w:p>
        </w:tc>
        <w:tc>
          <w:tcPr>
            <w:tcW w:w="1500" w:type="dxa"/>
          </w:tcPr>
          <w:p>
            <w:r>
              <w:t xml:space="preserve">6.122–14.272</w:t>
            </w:r>
          </w:p>
        </w:tc>
        <w:tc>
          <w:tcPr>
            <w:tcW w:w="1500" w:type="dxa"/>
          </w:tcPr>
          <w:p>
            <w:r>
              <w:t xml:space="preserve">2.40×10⁻⁴</w:t>
            </w:r>
          </w:p>
        </w:tc>
      </w:tr>
      <w:tr>
        <w:tc>
          <w:tcPr>
            <w:tcW w:w="1500" w:type="dxa"/>
          </w:tcPr>
          <w:p>
            <w:r>
              <w:t xml:space="preserve">Model 2</w:t>
            </w:r>
          </w:p>
        </w:tc>
        <w:tc>
          <w:tcPr>
            <w:tcW w:w="1500" w:type="dxa"/>
          </w:tcPr>
          <w:p>
            <w:r>
              <w:t xml:space="preserve">4,048</w:t>
            </w:r>
          </w:p>
        </w:tc>
        <w:tc>
          <w:tcPr>
            <w:tcW w:w="1500" w:type="dxa"/>
          </w:tcPr>
          <w:p>
            <w:r>
              <w:t xml:space="preserve">5.867</w:t>
            </w:r>
          </w:p>
        </w:tc>
        <w:tc>
          <w:tcPr>
            <w:tcW w:w="1500" w:type="dxa"/>
          </w:tcPr>
          <w:p>
            <w:r>
              <w:t xml:space="preserve">2.025</w:t>
            </w:r>
          </w:p>
        </w:tc>
        <w:tc>
          <w:tcPr>
            <w:tcW w:w="1500" w:type="dxa"/>
          </w:tcPr>
          <w:p>
            <w:r>
              <w:t xml:space="preserve">1.550–10.184</w:t>
            </w:r>
          </w:p>
        </w:tc>
        <w:tc>
          <w:tcPr>
            <w:tcW w:w="1500" w:type="dxa"/>
          </w:tcPr>
          <w:p>
            <w:r>
              <w:t xml:space="preserve">0.0200</w:t>
            </w:r>
          </w:p>
        </w:tc>
      </w:tr>
    </w:tbl>
    <w:p>
      <w:pPr>
        <w:pStyle w:val="Heading2"/>
      </w:pPr>
      <w:r>
        <w:t xml:space="preserve">Supplementary Table S2. Corrected P01 estimates by temporal resolution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fill="D9EAF7"/>
          </w:tcPr>
          <w:p>
            <w:r>
              <w:t xml:space="preserve">Resolution (min)</w:t>
            </w:r>
          </w:p>
        </w:tc>
        <w:tc>
          <w:tcPr>
            <w:tcW w:w="1500" w:type="dxa"/>
            <w:shd w:fill="D9EAF7"/>
          </w:tcPr>
          <w:p>
            <w:r>
              <w:t xml:space="preserve">N</w:t>
            </w:r>
          </w:p>
        </w:tc>
        <w:tc>
          <w:tcPr>
            <w:tcW w:w="1500" w:type="dxa"/>
            <w:shd w:fill="D9EAF7"/>
          </w:tcPr>
          <w:p>
            <w:r>
              <w:t xml:space="preserve">P01 β</w:t>
            </w:r>
          </w:p>
        </w:tc>
        <w:tc>
          <w:tcPr>
            <w:tcW w:w="1500" w:type="dxa"/>
            <w:shd w:fill="D9EAF7"/>
          </w:tcPr>
          <w:p>
            <w:r>
              <w:t xml:space="preserve">HC3 SE</w:t>
            </w:r>
          </w:p>
        </w:tc>
        <w:tc>
          <w:tcPr>
            <w:tcW w:w="1500" w:type="dxa"/>
            <w:shd w:fill="D9EAF7"/>
          </w:tcPr>
          <w:p>
            <w:r>
              <w:t xml:space="preserve">95% CI</w:t>
            </w:r>
          </w:p>
        </w:tc>
        <w:tc>
          <w:tcPr>
            <w:tcW w:w="1500" w:type="dxa"/>
            <w:shd w:fill="D9EAF7"/>
          </w:tcPr>
          <w:p>
            <w:r>
              <w:t xml:space="preserve">p</w:t>
            </w:r>
          </w:p>
        </w:tc>
      </w:tr>
      <w:tr>
        <w:tc>
          <w:tcPr>
            <w:tcW w:w="1500" w:type="dxa"/>
          </w:tcPr>
          <w:p>
            <w:r>
              <w:t xml:space="preserve">5</w:t>
            </w:r>
          </w:p>
        </w:tc>
        <w:tc>
          <w:tcPr>
            <w:tcW w:w="1500" w:type="dxa"/>
          </w:tcPr>
          <w:p>
            <w:r>
              <w:t xml:space="preserve">4,508</w:t>
            </w:r>
          </w:p>
        </w:tc>
        <w:tc>
          <w:tcPr>
            <w:tcW w:w="1500" w:type="dxa"/>
          </w:tcPr>
          <w:p>
            <w:r>
              <w:t xml:space="preserve">11.238</w:t>
            </w:r>
          </w:p>
        </w:tc>
        <w:tc>
          <w:tcPr>
            <w:tcW w:w="1500" w:type="dxa"/>
          </w:tcPr>
          <w:p>
            <w:r>
              <w:t xml:space="preserve">1.492</w:t>
            </w:r>
          </w:p>
        </w:tc>
        <w:tc>
          <w:tcPr>
            <w:tcW w:w="1500" w:type="dxa"/>
          </w:tcPr>
          <w:p>
            <w:r>
              <w:t xml:space="preserve">8.313–14.163</w:t>
            </w:r>
          </w:p>
        </w:tc>
        <w:tc>
          <w:tcPr>
            <w:tcW w:w="1500" w:type="dxa"/>
          </w:tcPr>
          <w:p>
            <w:r>
              <w:t xml:space="preserve">6.04×10⁻¹⁴</w:t>
            </w:r>
          </w:p>
        </w:tc>
      </w:tr>
      <w:tr>
        <w:tc>
          <w:tcPr>
            <w:tcW w:w="1500" w:type="dxa"/>
          </w:tcPr>
          <w:p>
            <w:r>
              <w:t xml:space="preserve">10</w:t>
            </w:r>
          </w:p>
        </w:tc>
        <w:tc>
          <w:tcPr>
            <w:tcW w:w="1500" w:type="dxa"/>
          </w:tcPr>
          <w:p>
            <w:r>
              <w:t xml:space="preserve">4,508</w:t>
            </w:r>
          </w:p>
        </w:tc>
        <w:tc>
          <w:tcPr>
            <w:tcW w:w="1500" w:type="dxa"/>
          </w:tcPr>
          <w:p>
            <w:r>
              <w:t xml:space="preserve">10.127</w:t>
            </w:r>
          </w:p>
        </w:tc>
        <w:tc>
          <w:tcPr>
            <w:tcW w:w="1500" w:type="dxa"/>
          </w:tcPr>
          <w:p>
            <w:r>
              <w:t xml:space="preserve">1.413</w:t>
            </w:r>
          </w:p>
        </w:tc>
        <w:tc>
          <w:tcPr>
            <w:tcW w:w="1500" w:type="dxa"/>
          </w:tcPr>
          <w:p>
            <w:r>
              <w:t xml:space="preserve">7.356–12.898</w:t>
            </w:r>
          </w:p>
        </w:tc>
        <w:tc>
          <w:tcPr>
            <w:tcW w:w="1500" w:type="dxa"/>
          </w:tcPr>
          <w:p>
            <w:r>
              <w:t xml:space="preserve">9.07×10⁻¹³</w:t>
            </w:r>
          </w:p>
        </w:tc>
      </w:tr>
      <w:tr>
        <w:tc>
          <w:tcPr>
            <w:tcW w:w="1500" w:type="dxa"/>
          </w:tcPr>
          <w:p>
            <w:r>
              <w:t xml:space="preserve">30</w:t>
            </w:r>
          </w:p>
        </w:tc>
        <w:tc>
          <w:tcPr>
            <w:tcW w:w="1500" w:type="dxa"/>
          </w:tcPr>
          <w:p>
            <w:r>
              <w:t xml:space="preserve">4,508</w:t>
            </w:r>
          </w:p>
        </w:tc>
        <w:tc>
          <w:tcPr>
            <w:tcW w:w="1500" w:type="dxa"/>
          </w:tcPr>
          <w:p>
            <w:r>
              <w:t xml:space="preserve">7.246</w:t>
            </w:r>
          </w:p>
        </w:tc>
        <w:tc>
          <w:tcPr>
            <w:tcW w:w="1500" w:type="dxa"/>
          </w:tcPr>
          <w:p>
            <w:r>
              <w:t xml:space="preserve">1.152</w:t>
            </w:r>
          </w:p>
        </w:tc>
        <w:tc>
          <w:tcPr>
            <w:tcW w:w="1500" w:type="dxa"/>
          </w:tcPr>
          <w:p>
            <w:r>
              <w:t xml:space="preserve">4.987–9.505</w:t>
            </w:r>
          </w:p>
        </w:tc>
        <w:tc>
          <w:tcPr>
            <w:tcW w:w="1500" w:type="dxa"/>
          </w:tcPr>
          <w:p>
            <w:r>
              <w:t xml:space="preserve">3.52×10⁻¹⁰</w:t>
            </w:r>
          </w:p>
        </w:tc>
      </w:tr>
      <w:tr>
        <w:tc>
          <w:tcPr>
            <w:tcW w:w="1500" w:type="dxa"/>
          </w:tcPr>
          <w:p>
            <w:r>
              <w:t xml:space="preserve">60</w:t>
            </w:r>
          </w:p>
        </w:tc>
        <w:tc>
          <w:tcPr>
            <w:tcW w:w="1500" w:type="dxa"/>
          </w:tcPr>
          <w:p>
            <w:r>
              <w:t xml:space="preserve">4,508</w:t>
            </w:r>
          </w:p>
        </w:tc>
        <w:tc>
          <w:tcPr>
            <w:tcW w:w="1500" w:type="dxa"/>
          </w:tcPr>
          <w:p>
            <w:r>
              <w:t xml:space="preserve">4.415</w:t>
            </w:r>
          </w:p>
        </w:tc>
        <w:tc>
          <w:tcPr>
            <w:tcW w:w="1500" w:type="dxa"/>
          </w:tcPr>
          <w:p>
            <w:r>
              <w:t xml:space="preserve">0.974</w:t>
            </w:r>
          </w:p>
        </w:tc>
        <w:tc>
          <w:tcPr>
            <w:tcW w:w="1500" w:type="dxa"/>
          </w:tcPr>
          <w:p>
            <w:r>
              <w:t xml:space="preserve">2.506–6.325</w:t>
            </w:r>
          </w:p>
        </w:tc>
        <w:tc>
          <w:tcPr>
            <w:tcW w:w="1500" w:type="dxa"/>
          </w:tcPr>
          <w:p>
            <w:r>
              <w:t xml:space="preserve">5.93×10⁻⁶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0"/>
    </w:rPr>
  </w:style>
  <w:style w:type="paragraph" w:styleId="Heading1">
    <w:name w:val="heading 1"/>
    <w:basedOn w:val="Normal"/>
    <w:pPr>
      <w:keepNext/>
    </w:pPr>
    <w:rPr>
      <w:b/>
      <w:sz w:val="28"/>
    </w:rPr>
  </w:style>
  <w:style w:type="paragraph" w:styleId="Heading2">
    <w:name w:val="heading 2"/>
    <w:basedOn w:val="Normal"/>
    <w:pPr>
      <w:keepNext/>
    </w:pPr>
    <w:rPr>
      <w:b/>
      <w:sz w:val="25"/>
    </w:rPr>
  </w:style>
  <w:style w:type="paragraph" w:styleId="Heading3">
    <w:name w:val="heading 3"/>
    <w:basedOn w:val="Normal"/>
    <w:pPr>
      <w:keepNext/>
    </w:pPr>
    <w:rPr>
      <w:b/>
      <w:sz w:val="23"/>
    </w:rPr>
  </w:style>
  <w:style w:type="paragraph" w:styleId="Caption">
    <w:name w:val="caption"/>
    <w:rPr>
      <w:i/>
      <w:sz w:val="20"/>
    </w:rPr>
  </w:style>
  <w:style w:type="paragraph" w:styleId="ListBullet">
    <w:name w:val="List Bullet"/>
    <w:basedOn w:val="Normal"/>
    <w:pPr>
      <w:ind w:left="360"/>
      <w:contextualSpacing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