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Nocturnal Rest-to-Activity Transition Probability and Depressive Symptoms in NHANES 2013–2014: A Cross-Sectional Actigraphy Study</w:t>
      </w:r>
    </w:p>
    <w:p>
      <w:pPr>
        <w:pStyle w:val="Heading2"/>
      </w:pPr>
      <w:r>
        <w:t xml:space="preserve">Abstract</w:t>
      </w:r>
    </w:p>
    <w:p>
      <w:pPr>
        <w:pStyle w:val="Normal"/>
      </w:pPr>
      <w:r>
        <w:t xml:space="preserve">Using NHANES 2013–2014, we tested whether nocturnal rest-to-activity transition probability (P01), derived from wrist actigraphy, was associated with depressive symptom burden. Participants contributed seven protocol wear days, with at least four adequate days (≥600 valid minutes/day, including one weekend day). P01 was calculated from complete, clock-aligned 10-minute blocks in a fixed 22:00–06:00 window; transitions required exact temporal adjacency. PHQ-9 was scored from all nine DPQ010–DPQ090 items. HC3 ordinary least-squares models adjusted for age, sex, and BMI (Model 1; N=4,508) and additionally for poverty-income ratio, self-reported weekday/workday sleep duration, and an actigraphy-derived WASO proxy (Model 2; N=4,048). P01 was positively associated with PHQ-9 in Model 1 (β=10.12663, 95% CI 7.35564–12.89762) and Model 2 (β=5.72278, 95% CI 2.47934–8.96622). Survey-weighted Model 2 was directionally consistent (β=5.86690, p=0.0200). In exploratory stratified five-fold cross-validation, adding P01 to demographic predictors increased out-of-fold AUC from 0.613 to 0.632 (Δ=0.018, 95% CI 0.008–0.030). The cross-sectional association does not establish causality; discrimination was modest and external validation is absent.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0"/>
    </w:rPr>
  </w:style>
  <w:style w:type="paragraph" w:styleId="Heading1">
    <w:name w:val="heading 1"/>
    <w:basedOn w:val="Normal"/>
    <w:pPr>
      <w:keepNext/>
    </w:pPr>
    <w:rPr>
      <w:b/>
      <w:sz w:val="28"/>
    </w:rPr>
  </w:style>
  <w:style w:type="paragraph" w:styleId="Heading2">
    <w:name w:val="heading 2"/>
    <w:basedOn w:val="Normal"/>
    <w:pPr>
      <w:keepNext/>
    </w:pPr>
    <w:rPr>
      <w:b/>
      <w:sz w:val="25"/>
    </w:rPr>
  </w:style>
  <w:style w:type="paragraph" w:styleId="Heading3">
    <w:name w:val="heading 3"/>
    <w:basedOn w:val="Normal"/>
    <w:pPr>
      <w:keepNext/>
    </w:pPr>
    <w:rPr>
      <w:b/>
      <w:sz w:val="23"/>
    </w:rPr>
  </w:style>
  <w:style w:type="paragraph" w:styleId="Caption">
    <w:name w:val="caption"/>
    <w:rPr>
      <w:i/>
      <w:sz w:val="20"/>
    </w:rPr>
  </w:style>
  <w:style w:type="paragraph" w:styleId="ListBullet">
    <w:name w:val="List Bullet"/>
    <w:basedOn w:val="Normal"/>
    <w:pPr>
      <w:ind w:left="360"/>
      <w:contextualSpacing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