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Nocturnal Rest-to-Activity Transition Probability and Depressive Symptoms in NHANES 2013–2014: A Cross-Sectional Actigraphy Study</w:t>
      </w:r>
    </w:p>
    <w:p>
      <w:pPr>
        <w:pStyle w:val="Normal"/>
      </w:pPr>
      <w:r>
        <w:rPr>
          <w:b/>
        </w:rPr>
        <w:t xml:space="preserve">Author:</w:t>
      </w:r>
      <w:r>
        <w:t xml:space="preserve"> Minjun Park</w:t>
      </w:r>
    </w:p>
    <w:p>
      <w:pPr>
        <w:pStyle w:val="Normal"/>
      </w:pPr>
      <w:r>
        <w:rPr>
          <w:b/>
        </w:rPr>
        <w:t xml:space="preserve">Affiliation:</w:t>
      </w:r>
      <w:r>
        <w:t xml:space="preserve"> Department of Medicine, Sapporo Medical University, Sapporo, Japan</w:t>
      </w:r>
    </w:p>
    <w:p>
      <w:pPr>
        <w:pStyle w:val="Normal"/>
      </w:pPr>
      <w:r>
        <w:rPr>
          <w:b/>
        </w:rPr>
        <w:t xml:space="preserve">Corresponding author:</w:t>
      </w:r>
      <w:r>
        <w:t xml:space="preserve"> Minjun Park</w:t>
      </w:r>
    </w:p>
    <w:p>
      <w:pPr>
        <w:pStyle w:val="Normal"/>
      </w:pPr>
      <w:r>
        <w:rPr>
          <w:b/>
        </w:rPr>
        <w:t xml:space="preserve">Email:</w:t>
      </w:r>
      <w:r>
        <w:t xml:space="preserve"> a25m080@sapmed.ac.jp</w:t>
      </w:r>
    </w:p>
    <w:p>
      <w:pPr>
        <w:pStyle w:val="Normal"/>
      </w:pPr>
      <w:r>
        <w:rPr>
          <w:b/>
        </w:rPr>
        <w:t xml:space="preserve">ORCID:</w:t>
      </w:r>
      <w:r>
        <w:t xml:space="preserve"> 0009-0002-5305-3491</w:t>
      </w:r>
    </w:p>
    <w:p>
      <w:pPr>
        <w:pStyle w:val="Normal"/>
      </w:pPr>
      <w:r>
        <w:rPr>
          <w:b/>
        </w:rPr>
        <w:t xml:space="preserve">Institutional mailing address:</w:t>
      </w:r>
    </w:p>
    <w:p>
      <w:pPr>
        <w:pStyle w:val="Normal"/>
      </w:pPr>
      <w:r>
        <w:t xml:space="preserve">Sapporo Medical University</w:t>
      </w:r>
    </w:p>
    <w:p>
      <w:pPr>
        <w:pStyle w:val="Normal"/>
      </w:pPr>
      <w:r>
        <w:t xml:space="preserve">South 1, West 17, Chuo-ku</w:t>
      </w:r>
    </w:p>
    <w:p>
      <w:pPr>
        <w:pStyle w:val="Normal"/>
      </w:pPr>
      <w:r>
        <w:t xml:space="preserve">Sapporo 060-8556</w:t>
      </w:r>
    </w:p>
    <w:p>
      <w:pPr>
        <w:pStyle w:val="Normal"/>
      </w:pPr>
      <w:r>
        <w:t xml:space="preserve">Japan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rPr>
      <w:b/>
      <w:sz w:val="30"/>
    </w:rPr>
  </w:style>
  <w:style w:type="paragraph" w:styleId="Heading1">
    <w:name w:val="heading 1"/>
    <w:basedOn w:val="Normal"/>
    <w:pPr>
      <w:keepNext/>
    </w:pPr>
    <w:rPr>
      <w:b/>
      <w:sz w:val="28"/>
    </w:rPr>
  </w:style>
  <w:style w:type="paragraph" w:styleId="Heading2">
    <w:name w:val="heading 2"/>
    <w:basedOn w:val="Normal"/>
    <w:pPr>
      <w:keepNext/>
    </w:pPr>
    <w:rPr>
      <w:b/>
      <w:sz w:val="25"/>
    </w:rPr>
  </w:style>
  <w:style w:type="paragraph" w:styleId="Heading3">
    <w:name w:val="heading 3"/>
    <w:basedOn w:val="Normal"/>
    <w:pPr>
      <w:keepNext/>
    </w:pPr>
    <w:rPr>
      <w:b/>
      <w:sz w:val="23"/>
    </w:rPr>
  </w:style>
  <w:style w:type="paragraph" w:styleId="Caption">
    <w:name w:val="caption"/>
    <w:rPr>
      <w:i/>
      <w:sz w:val="20"/>
    </w:rPr>
  </w:style>
  <w:style w:type="paragraph" w:styleId="ListBullet">
    <w:name w:val="List Bullet"/>
    <w:basedOn w:val="Normal"/>
    <w:pPr>
      <w:ind w:left="360"/>
      <w:contextualSpacing/>
    </w:pPr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/Relationships>
</file>