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Cover Letter — Psychiatry Research</w:t>
      </w:r>
    </w:p>
    <w:p>
      <w:pPr>
        <w:pStyle w:val="Normal"/>
      </w:pPr>
      <w:r>
        <w:t xml:space="preserve">Editorial Office</w:t>
      </w:r>
    </w:p>
    <w:p>
      <w:pPr>
        <w:pStyle w:val="Normal"/>
      </w:pPr>
      <w:r>
        <w:t xml:space="preserve">Psychiatry Research</w:t>
      </w:r>
    </w:p>
    <w:p>
      <w:pPr>
        <w:pStyle w:val="Normal"/>
      </w:pPr>
      <w:r>
        <w:rPr>
          <w:b/>
        </w:rPr>
        <w:t xml:space="preserve">Re: Full-Length Article / Original Research — “Nocturnal Rest-to-Activity Transition Probability and Depressive Symptoms in NHANES 2013–2014: A Cross-Sectional Actigraphy Study”</w:t>
      </w:r>
    </w:p>
    <w:p>
      <w:pPr>
        <w:pStyle w:val="Normal"/>
      </w:pPr>
      <w:r>
        <w:t xml:space="preserve">Dear Editors,</w:t>
      </w:r>
    </w:p>
    <w:p>
      <w:pPr>
        <w:pStyle w:val="Normal"/>
      </w:pPr>
      <w:r>
        <w:t xml:space="preserve">I submit this Full-Length Article for consideration in </w:t>
      </w:r>
      <w:r>
        <w:rPr>
          <w:i/>
        </w:rPr>
        <w:t xml:space="preserve">Psychiatry Research</w:t>
      </w:r>
      <w:r>
        <w:t xml:space="preserve">. This cross-sectional secondary analysis examines the association between depressive symptom burden and nocturnal rest-to-activity transition probability (P01), a complementary measure derived from NHANES wrist-actigraphy data.</w:t>
      </w:r>
    </w:p>
    <w:p>
      <w:pPr>
        <w:pStyle w:val="Normal"/>
      </w:pPr>
      <w:r>
        <w:t xml:space="preserve">I submit the work as a Full-Length Article because it evaluates a prespecified, reproducible temporal actigraphy feature through multiple inferential and robustness analyses, rather than reporting a brief descriptive secondary-data finding.</w:t>
      </w:r>
    </w:p>
    <w:p>
      <w:pPr>
        <w:pStyle w:val="Normal"/>
      </w:pPr>
      <w:r>
        <w:t xml:space="preserve">P01 uses complete clock-aligned 10-minute blocks and exact temporal adjacency within a fixed 22:00–06:00 window. P01 was positively associated with PHQ-9 in the primary HC3 OLS models (Model 1: β=10.12663, 95% CI 7.35564–12.89762; Model 2: β=5.72278, 95% CI 2.47934–8.96622). Survey-weighted sensitivity analysis supported the direction of the association. In exploratory stratified five-fold cross-validation, adding P01 to demographic predictors increased out-of-fold AUC by 0.018 (95% CI 0.008–0.030), a modest increment.</w:t>
      </w:r>
    </w:p>
    <w:p>
      <w:pPr>
        <w:pStyle w:val="Normal"/>
      </w:pPr>
      <w:r>
        <w:t xml:space="preserve">The manuscript interprets these findings as cross-sectional associations; it makes no causal, diagnostic, or clinical-use claim. The analysis uses publicly available NHANES data, and the code and study outputs are available at https://github.com/0ArchLinux0/Nocturnal-Rest-Activity-Transition-Instability_NHANES-2013-2014.</w:t>
      </w:r>
    </w:p>
    <w:p>
      <w:pPr>
        <w:pStyle w:val="Normal"/>
      </w:pPr>
      <w:r>
        <w:t xml:space="preserve">Minjun Park is the sole author and has reviewed the final manuscript. The author declares no competing interests and no specific grant funding.</w:t>
      </w:r>
    </w:p>
    <w:p>
      <w:pPr>
        <w:pStyle w:val="Normal"/>
      </w:pPr>
      <w:r>
        <w:t xml:space="preserve">Thank you for your consideration.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Minjun Park</w:t>
      </w:r>
    </w:p>
    <w:p>
      <w:pPr>
        <w:pStyle w:val="Normal"/>
      </w:pPr>
      <w:r>
        <w:t xml:space="preserve">Department of Medicine, Sapporo Medical University</w:t>
      </w:r>
    </w:p>
    <w:p>
      <w:pPr>
        <w:pStyle w:val="Normal"/>
      </w:pPr>
      <w:r>
        <w:t xml:space="preserve">Sapporo, Japan</w:t>
      </w:r>
    </w:p>
    <w:p>
      <w:pPr>
        <w:pStyle w:val="Normal"/>
      </w:pPr>
      <w:r>
        <w:t xml:space="preserve">a25m080@sapmed.ac.jp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