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Cover Letter — Journal of Affective Disorders Reports</w:t>
      </w:r>
    </w:p>
    <w:p>
      <w:pPr>
        <w:pStyle w:val="Normal"/>
      </w:pPr>
      <w:r>
        <w:t xml:space="preserve">16 October 2026</w:t>
      </w:r>
    </w:p>
    <w:p>
      <w:pPr>
        <w:pStyle w:val="Normal"/>
      </w:pPr>
      <w:r>
        <w:t xml:space="preserve">Editorial Office Journal of Affective Disorders Reports</w:t>
      </w:r>
    </w:p>
    <w:p>
      <w:pPr>
        <w:pStyle w:val="Normal"/>
      </w:pPr>
      <w:r>
        <w:rPr>
          <w:b/>
        </w:rPr>
        <w:t xml:space="preserve">Re: Original Research submission — “Nocturnal Rest-to-Activity Transition Probability and Depressive Symptoms in NHANES 2013–2014: A Cross-Sectional Actigraphy Study”</w:t>
      </w:r>
    </w:p>
    <w:p>
      <w:pPr>
        <w:pStyle w:val="Normal"/>
      </w:pPr>
      <w:r>
        <w:t xml:space="preserve">Dear Editors,</w:t>
      </w:r>
    </w:p>
    <w:p>
      <w:pPr>
        <w:pStyle w:val="Normal"/>
      </w:pPr>
      <w:r>
        <w:t xml:space="preserve">I submit the enclosed manuscript for consideration as an Original Research article in the </w:t>
      </w:r>
      <w:r>
        <w:rPr>
          <w:i/>
        </w:rPr>
        <w:t xml:space="preserve">Journal of Affective Disorders Reports</w:t>
      </w:r>
      <w:r>
        <w:t xml:space="preserve">. This cross-sectional secondary analysis of NHANES 2013–2014 examines the association between depressive symptom burden and nocturnal rest-to-activity transition probability (P01), a complementary actigraphy-derived behavioral measure.</w:t>
      </w:r>
    </w:p>
    <w:p>
      <w:pPr>
        <w:pStyle w:val="Normal"/>
      </w:pPr>
      <w:r>
        <w:t xml:space="preserve">P01 was constructed from temporally reconstructed PAM minute data using complete 10-minute activity blocks and exact temporal adjacency within a fixed overnight window. In the primary HC3 OLS analysis, the association was positive in both the demographic-adjusted model (N=4,508) and extended model (N=4,048). A survey-design sensitivity analysis using the MEC examination weight, strata, and primary sampling units supported the direction of the extended-model result. Exploratory stratified five-fold cross-validation yielded a modest incremental AUC of 0.018 for demographics plus P01 versus demographics alone (paired bootstrap 95% CI 0.008–0.030).</w:t>
      </w:r>
    </w:p>
    <w:p>
      <w:pPr>
        <w:pStyle w:val="Normal"/>
      </w:pPr>
      <w:r>
        <w:t xml:space="preserve">The manuscript interprets these findings as cross-sectional associations, not causal or diagnostic evidence. It does not propose P01 for clinical adoption or diagnosis. We believe the work may interest readers studying depressive symptoms, sleep-related behavior, and population actigraphy while maintaining these limits.</w:t>
      </w:r>
    </w:p>
    <w:p>
      <w:pPr>
        <w:pStyle w:val="Normal"/>
      </w:pPr>
      <w:r>
        <w:t xml:space="preserve">The work is original, is not under consideration elsewhere, and uses publicly available NHANES data. I am the sole author and have approved the submitted version. I declare no competing interests and no specific funding for this study.</w:t>
      </w:r>
    </w:p>
    <w:p>
      <w:pPr>
        <w:pStyle w:val="Normal"/>
      </w:pPr>
      <w:r>
        <w:t xml:space="preserve">Thank you for your consideration.</w:t>
      </w:r>
    </w:p>
    <w:p>
      <w:pPr>
        <w:pStyle w:val="Normal"/>
      </w:pPr>
      <w:r>
        <w:t xml:space="preserve">Sincerely,</w:t>
      </w:r>
    </w:p>
    <w:p>
      <w:pPr>
        <w:pStyle w:val="Normal"/>
      </w:pPr>
      <w:r>
        <w:t xml:space="preserve">Minjun Park Department of Medicine Sapporo Medical University Sapporo, Japan a25m080@sapmed.ac.jp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0"/>
    </w:rPr>
  </w:style>
  <w:style w:type="paragraph" w:styleId="Heading1">
    <w:name w:val="heading 1"/>
    <w:basedOn w:val="Normal"/>
    <w:pPr>
      <w:keepNext/>
    </w:pPr>
    <w:rPr>
      <w:b/>
      <w:sz w:val="28"/>
    </w:rPr>
  </w:style>
  <w:style w:type="paragraph" w:styleId="Heading2">
    <w:name w:val="heading 2"/>
    <w:basedOn w:val="Normal"/>
    <w:pPr>
      <w:keepNext/>
    </w:pPr>
    <w:rPr>
      <w:b/>
      <w:sz w:val="25"/>
    </w:rPr>
  </w:style>
  <w:style w:type="paragraph" w:styleId="Heading3">
    <w:name w:val="heading 3"/>
    <w:basedOn w:val="Normal"/>
    <w:pPr>
      <w:keepNext/>
    </w:pPr>
    <w:rPr>
      <w:b/>
      <w:sz w:val="23"/>
    </w:rPr>
  </w:style>
  <w:style w:type="paragraph" w:styleId="Caption">
    <w:name w:val="caption"/>
    <w:rPr>
      <w:i/>
      <w:sz w:val="20"/>
    </w:rPr>
  </w:style>
  <w:style w:type="paragraph" w:styleId="ListBullet">
    <w:name w:val="List Bullet"/>
    <w:basedOn w:val="Normal"/>
    <w:pPr>
      <w:ind w:left="360"/>
      <w:contextualSpacing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