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на практике применения режима однократного гаммирования.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добавил нужные библиотеки для дальнейших действий(??).</w:t>
      </w:r>
    </w:p>
    <w:p>
      <w:pPr>
        <w:pStyle w:val="CaptionedFigure"/>
      </w:pPr>
      <w:r>
        <w:drawing>
          <wp:inline>
            <wp:extent cx="1607418" cy="548640"/>
            <wp:effectExtent b="0" l="0" r="0" t="0"/>
            <wp:docPr descr="Добавление библиотек" title="fig:" id="22" name="Picture"/>
            <a:graphic>
              <a:graphicData uri="http://schemas.openxmlformats.org/drawingml/2006/picture">
                <pic:pic>
                  <pic:nvPicPr>
                    <pic:cNvPr descr="./image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18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библиотек</w:t>
      </w:r>
    </w:p>
    <w:p>
      <w:pPr>
        <w:numPr>
          <w:ilvl w:val="0"/>
          <w:numId w:val="1002"/>
        </w:numPr>
        <w:pStyle w:val="Compact"/>
      </w:pPr>
      <w:r>
        <w:t xml:space="preserve">Я создал функцию, которая не только шифрует, но и дешифрует текст.</w:t>
      </w:r>
    </w:p>
    <w:p>
      <w:pPr>
        <w:pStyle w:val="FirstParagraph"/>
      </w:pPr>
      <w:bookmarkStart w:id="27" w:name="fig:002"/>
      <w:r>
        <w:drawing>
          <wp:inline>
            <wp:extent cx="4562374" cy="2252311"/>
            <wp:effectExtent b="0" l="0" r="0" t="0"/>
            <wp:docPr descr="Функция шифровка/дешифровки текста" title="" id="25" name="Picture"/>
            <a:graphic>
              <a:graphicData uri="http://schemas.openxmlformats.org/drawingml/2006/picture">
                <pic:pic>
                  <pic:nvPicPr>
                    <pic:cNvPr descr="./images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(??).</w:t>
      </w:r>
    </w:p>
    <w:p>
      <w:pPr>
        <w:numPr>
          <w:ilvl w:val="0"/>
          <w:numId w:val="1003"/>
        </w:numPr>
        <w:pStyle w:val="Compact"/>
      </w:pPr>
      <w:r>
        <w:t xml:space="preserve">Я создал функцию, которая которая определяет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текста(??).</w:t>
      </w:r>
    </w:p>
    <w:p>
      <w:pPr>
        <w:pStyle w:val="CaptionedFigure"/>
      </w:pPr>
      <w:r>
        <w:drawing>
          <wp:inline>
            <wp:extent cx="5334000" cy="2950560"/>
            <wp:effectExtent b="0" l="0" r="0" t="0"/>
            <wp:docPr descr="Функция определения ключа" title="fig:" id="29" name="Picture"/>
            <a:graphic>
              <a:graphicData uri="http://schemas.openxmlformats.org/drawingml/2006/picture">
                <pic:pic>
                  <pic:nvPicPr>
                    <pic:cNvPr descr="./images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определения ключа</w:t>
      </w:r>
    </w:p>
    <w:p>
      <w:pPr>
        <w:numPr>
          <w:ilvl w:val="0"/>
          <w:numId w:val="1004"/>
        </w:numPr>
        <w:pStyle w:val="Compact"/>
      </w:pPr>
      <w:r>
        <w:t xml:space="preserve">В int main я создал задание переменных и вызов всех функций(??).</w:t>
      </w:r>
    </w:p>
    <w:p>
      <w:pPr>
        <w:pStyle w:val="CaptionedFigure"/>
      </w:pPr>
      <w:r>
        <w:drawing>
          <wp:inline>
            <wp:extent cx="5159141" cy="5236143"/>
            <wp:effectExtent b="0" l="0" r="0" t="0"/>
            <wp:docPr descr="Int main" title="fig:" id="32" name="Picture"/>
            <a:graphic>
              <a:graphicData uri="http://schemas.openxmlformats.org/drawingml/2006/picture">
                <pic:pic>
                  <pic:nvPicPr>
                    <pic:cNvPr descr="./images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Int main</w:t>
      </w:r>
    </w:p>
    <w:p>
      <w:pPr>
        <w:numPr>
          <w:ilvl w:val="0"/>
          <w:numId w:val="1005"/>
        </w:numPr>
        <w:pStyle w:val="Compact"/>
      </w:pPr>
      <w:r>
        <w:t xml:space="preserve">Я получил следующий результат(??).</w:t>
      </w:r>
    </w:p>
    <w:p>
      <w:pPr>
        <w:pStyle w:val="CaptionedFigure"/>
      </w:pPr>
      <w:r>
        <w:drawing>
          <wp:inline>
            <wp:extent cx="2579570" cy="798896"/>
            <wp:effectExtent b="0" l="0" r="0" t="0"/>
            <wp:docPr descr="Результаты работы программы" title="fig:" id="35" name="Picture"/>
            <a:graphic>
              <a:graphicData uri="http://schemas.openxmlformats.org/drawingml/2006/picture">
                <pic:pic>
                  <pic:nvPicPr>
                    <pic:cNvPr descr="./images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0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Результаты работы программы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лабораторной работы я освоил на практике применение режима однократного гаммирования.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https://esystem.rudn.ru/pluginfile.php/2090284/mod_resource/content/2/007-lab_crypto-gamma.pdf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Покрас Илья Михайлович</dc:creator>
  <dc:language>ru-RU</dc:language>
  <cp:keywords/>
  <dcterms:created xsi:type="dcterms:W3CDTF">2023-10-21T14:29:19Z</dcterms:created>
  <dcterms:modified xsi:type="dcterms:W3CDTF">2023-10-21T14:29:19Z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