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Ind w:type="dxa" w:w="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0"/>
          <w:left w:type="dxa" w:w="0"/>
          <w:bottom w:type="dxa" w:w="0"/>
          <w:right w:type="dxa" w:w="0"/>
        </w:tblCellMar>
      </w:tblPr>
      <w:tblGrid>
        <w:gridCol w:w="11906"/>
      </w:tblGrid>
      <w:tr>
        <w:trPr>
          <w:trHeight w:val="300" w:hRule="exact"/>
        </w:trPr>
        <w:tc>
          <w:tcPr>
            <w:tcW w:type="dxa" w:w="11906"/>
            <w:tcBorders>
              <w:top w:val="none" w:color="FFFFFF" w:sz="0"/>
              <w:left w:val="none" w:color="FFFFFF" w:sz="0"/>
              <w:bottom w:val="none" w:color="FFFFFF" w:sz="0"/>
              <w:right w:val="none" w:color="FFFFFF" w:sz="0"/>
            </w:tcBorders>
            <w:shd w:fill="037C30" w:val="clear"/>
            <w:tcMar>
              <w:top w:type="dxa" w:w="0"/>
              <w:left w:type="dxa" w:w="900"/>
              <w:bottom w:type="dxa" w:w="0"/>
              <w:right w:type="dxa" w:w="900"/>
            </w:tcMar>
            <w:vAlign w:val="center"/>
          </w:tcPr>
          <w:p>
            <w:pPr>
              <w:spacing w:after="0" w:before="0"/>
              <w:jc w:val="center"/>
            </w:pPr>
            <w:r>
              <w:rPr>
                <w:rFonts w:ascii="Arial" w:cs="Arial" w:eastAsia="Arial" w:hAnsi="Arial"/>
                <w:color w:val="1F2A24"/>
                <w:sz w:val="22"/>
                <w:szCs w:val="22"/>
              </w:rPr>
              <w:t xml:space="preserve"/>
            </w:r>
          </w:p>
        </w:tc>
      </w:tr>
      <w:tr>
        <w:trPr>
          <w:trHeight w:val="2000" w:hRule="exact"/>
        </w:trPr>
        <w:tc>
          <w:tcPr>
            <w:tcW w:type="dxa" w:w="11906"/>
            <w:tcBorders>
              <w:top w:val="none" w:color="FFFFFF" w:sz="0"/>
              <w:left w:val="none" w:color="FFFFFF" w:sz="0"/>
              <w:bottom w:val="none" w:color="FFFFFF" w:sz="0"/>
              <w:right w:val="none" w:color="FFFFFF" w:sz="0"/>
            </w:tcBorders>
            <w:shd w:fill="FFF9F2" w:val="clear"/>
            <w:tcMar>
              <w:top w:type="dxa" w:w="0"/>
              <w:left w:type="dxa" w:w="900"/>
              <w:bottom w:type="dxa" w:w="300"/>
              <w:right w:type="dxa" w:w="900"/>
            </w:tcMar>
            <w:vAlign w:val="bottom"/>
          </w:tcPr>
          <w:p>
            <w:pPr>
              <w:spacing w:after="0" w:before="0"/>
              <w:jc w:val="center"/>
            </w:pPr>
            <w:r>
              <w:rPr>
                <w:rFonts w:ascii="Arial" w:cs="Arial" w:eastAsia="Arial" w:hAnsi="Arial"/>
                <w:b/>
                <w:bCs/>
                <w:color w:val="B24A00"/>
                <w:spacing w:val="60"/>
                <w:sz w:val="19"/>
                <w:szCs w:val="19"/>
              </w:rPr>
              <w:t xml:space="preserve">SYSTÈME D’IDENTITÉ VISUELLE</w:t>
            </w:r>
          </w:p>
        </w:tc>
      </w:tr>
      <w:tr>
        <w:trPr>
          <w:trHeight w:val="5600" w:hRule="exact"/>
        </w:trPr>
        <w:tc>
          <w:tcPr>
            <w:tcW w:type="dxa" w:w="11906"/>
            <w:tcBorders>
              <w:top w:val="none" w:color="FFFFFF" w:sz="0"/>
              <w:left w:val="none" w:color="FFFFFF" w:sz="0"/>
              <w:bottom w:val="none" w:color="FFFFFF" w:sz="0"/>
              <w:right w:val="none" w:color="FFFFFF" w:sz="0"/>
            </w:tcBorders>
            <w:shd w:fill="FFF9F2" w:val="clear"/>
            <w:tcMar>
              <w:top w:type="dxa" w:w="0"/>
              <w:left w:type="dxa" w:w="900"/>
              <w:bottom w:type="dxa" w:w="0"/>
              <w:right w:type="dxa" w:w="900"/>
            </w:tcMar>
            <w:vAlign w:val="center"/>
          </w:tcPr>
          <w:p>
            <w:pPr>
              <w:spacing w:after="0"/>
              <w:jc w:val="center"/>
            </w:pPr>
            <w:r>
              <w:drawing>
                <wp:inline distT="0" distB="0" distL="0" distR="0">
                  <wp:extent cx="3429000" cy="2552700"/>
                  <wp:effectExtent t="0" r="0" b="0" l="0"/>
                  <wp:docPr id="1" name="/home/claude/docs/c_v.png" descr="Logo Soutrali" title="Logo Soutr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552700"/>
                          </a:xfrm>
                          <a:prstGeom prst="rect">
                            <a:avLst/>
                          </a:prstGeom>
                        </pic:spPr>
                      </pic:pic>
                    </a:graphicData>
                  </a:graphic>
                </wp:inline>
              </w:drawing>
            </w:r>
          </w:p>
          <w:p>
            <w:pPr>
              <w:spacing w:after="0" w:before="240"/>
              <w:jc w:val="center"/>
            </w:pPr>
            <w:r>
              <w:rPr>
                <w:rFonts w:ascii="Arial" w:cs="Arial" w:eastAsia="Arial" w:hAnsi="Arial"/>
                <w:b/>
                <w:bCs/>
                <w:color w:val="037C30"/>
                <w:sz w:val="32"/>
                <w:szCs w:val="32"/>
              </w:rPr>
              <w:t xml:space="preserve">L’entraide à porter de main</w:t>
            </w:r>
          </w:p>
        </w:tc>
      </w:tr>
      <w:tr>
        <w:trPr>
          <w:trHeight w:val="3400" w:hRule="exact"/>
        </w:trPr>
        <w:tc>
          <w:tcPr>
            <w:tcW w:type="dxa" w:w="11906"/>
            <w:tcBorders>
              <w:top w:val="none" w:color="FFFFFF" w:sz="0"/>
              <w:left w:val="none" w:color="FFFFFF" w:sz="0"/>
              <w:bottom w:val="none" w:color="FFFFFF" w:sz="0"/>
              <w:right w:val="none" w:color="FFFFFF" w:sz="0"/>
            </w:tcBorders>
            <w:shd w:fill="FFF9F2" w:val="clear"/>
            <w:tcMar>
              <w:top w:type="dxa" w:w="0"/>
              <w:left w:type="dxa" w:w="900"/>
              <w:bottom w:type="dxa" w:w="0"/>
              <w:right w:type="dxa" w:w="900"/>
            </w:tcMar>
            <w:vAlign w:val="center"/>
          </w:tcPr>
          <w:p>
            <w:pPr>
              <w:spacing w:after="0" w:before="0" w:line="598"/>
              <w:jc w:val="center"/>
            </w:pPr>
            <w:r>
              <w:rPr>
                <w:rFonts w:ascii="Arial" w:cs="Arial" w:eastAsia="Arial" w:hAnsi="Arial"/>
                <w:b/>
                <w:bCs/>
                <w:color w:val="0B5A2A"/>
                <w:sz w:val="52"/>
                <w:szCs w:val="52"/>
              </w:rPr>
              <w:t xml:space="preserve">Charte graphique</w:t>
            </w:r>
          </w:p>
          <w:p>
            <w:pPr>
              <w:spacing w:after="0" w:before="0" w:line="598"/>
              <w:jc w:val="center"/>
            </w:pPr>
            <w:r>
              <w:rPr>
                <w:rFonts w:ascii="Arial" w:cs="Arial" w:eastAsia="Arial" w:hAnsi="Arial"/>
                <w:b/>
                <w:bCs/>
                <w:color w:val="0B5A2A"/>
                <w:sz w:val="52"/>
                <w:szCs w:val="52"/>
              </w:rPr>
              <w:t xml:space="preserve">et spécifications visuelles</w:t>
            </w:r>
          </w:p>
          <w:p>
            <w:pPr>
              <w:spacing w:after="0" w:before="200"/>
              <w:jc w:val="center"/>
            </w:pPr>
            <w:r>
              <w:rPr>
                <w:rFonts w:ascii="Arial" w:cs="Arial" w:eastAsia="Arial" w:hAnsi="Arial"/>
                <w:color w:val="5A6B62"/>
                <w:sz w:val="24"/>
                <w:szCs w:val="24"/>
              </w:rPr>
              <w:t xml:space="preserve">Logo, couleurs, typographie, composants</w:t>
            </w:r>
          </w:p>
        </w:tc>
      </w:tr>
      <w:tr>
        <w:trPr>
          <w:trHeight w:val="1300" w:hRule="exact"/>
        </w:trPr>
        <w:tc>
          <w:tcPr>
            <w:tcW w:type="dxa" w:w="11906"/>
            <w:tcBorders>
              <w:top w:val="none" w:color="FFFFFF" w:sz="0"/>
              <w:left w:val="none" w:color="FFFFFF" w:sz="0"/>
              <w:bottom w:val="none" w:color="FFFFFF" w:sz="0"/>
              <w:right w:val="none" w:color="FFFFFF" w:sz="0"/>
            </w:tcBorders>
            <w:shd w:fill="FFF9F2" w:val="clear"/>
            <w:tcMar>
              <w:top w:type="dxa" w:w="0"/>
              <w:left w:type="dxa" w:w="900"/>
              <w:bottom w:type="dxa" w:w="0"/>
              <w:right w:type="dxa" w:w="900"/>
            </w:tcMar>
            <w:vAlign w:val="center"/>
          </w:tcPr>
          <w:p>
            <w:pPr>
              <w:spacing w:after="50"/>
              <w:jc w:val="center"/>
            </w:pPr>
            <w:r>
              <w:rPr>
                <w:rFonts w:ascii="Arial" w:cs="Arial" w:eastAsia="Arial" w:hAnsi="Arial"/>
                <w:b/>
                <w:bCs/>
                <w:color w:val="037C30"/>
                <w:spacing w:val="30"/>
                <w:sz w:val="15"/>
                <w:szCs w:val="15"/>
              </w:rPr>
              <w:t xml:space="preserve">VERSION   </w:t>
            </w:r>
            <w:r>
              <w:rPr>
                <w:rFonts w:ascii="Arial" w:cs="Arial" w:eastAsia="Arial" w:hAnsi="Arial"/>
                <w:color w:val="1F2A24"/>
                <w:sz w:val="19"/>
                <w:szCs w:val="19"/>
              </w:rPr>
              <w:t xml:space="preserve">2.0 — 19 octobre 2026</w:t>
            </w:r>
          </w:p>
          <w:p>
            <w:pPr>
              <w:spacing w:after="50"/>
              <w:jc w:val="center"/>
            </w:pPr>
            <w:r>
              <w:rPr>
                <w:rFonts w:ascii="Arial" w:cs="Arial" w:eastAsia="Arial" w:hAnsi="Arial"/>
                <w:b/>
                <w:bCs/>
                <w:color w:val="037C30"/>
                <w:spacing w:val="30"/>
                <w:sz w:val="15"/>
                <w:szCs w:val="15"/>
              </w:rPr>
              <w:t xml:space="preserve">STATUT   </w:t>
            </w:r>
            <w:r>
              <w:rPr>
                <w:rFonts w:ascii="Arial" w:cs="Arial" w:eastAsia="Arial" w:hAnsi="Arial"/>
                <w:color w:val="1F2A24"/>
                <w:sz w:val="19"/>
                <w:szCs w:val="19"/>
              </w:rPr>
              <w:t xml:space="preserve">À valider par la MOA</w:t>
            </w:r>
          </w:p>
        </w:tc>
      </w:tr>
      <w:tr>
        <w:trPr>
          <w:trHeight w:val="1500" w:hRule="exact"/>
        </w:trPr>
        <w:tc>
          <w:tcPr>
            <w:tcW w:type="dxa" w:w="1984"/>
            <w:tcBorders>
              <w:top w:val="none" w:color="FFFFFF" w:sz="0"/>
              <w:left w:val="none" w:color="FFFFFF" w:sz="0"/>
              <w:bottom w:val="none" w:color="FFFFFF" w:sz="0"/>
              <w:right w:val="none" w:color="FFFFFF" w:sz="0"/>
            </w:tcBorders>
            <w:shd w:fill="FE7402" w:val="clear"/>
            <w:tcMar>
              <w:top w:type="dxa" w:w="0"/>
              <w:left w:type="dxa" w:w="300"/>
              <w:bottom w:type="dxa" w:w="200"/>
              <w:right w:type="dxa" w:w="100"/>
            </w:tcMar>
            <w:vAlign w:val="bottom"/>
          </w:tcPr>
          <w:p>
            <w:pPr>
              <w:spacing w:after="0" w:before="0"/>
              <w:jc w:val="left"/>
            </w:pPr>
            <w:r>
              <w:rPr>
                <w:rFonts w:ascii="Arial" w:cs="Arial" w:eastAsia="Arial" w:hAnsi="Arial"/>
                <w:b/>
                <w:bCs/>
                <w:color w:val="1F2A24"/>
                <w:sz w:val="17"/>
                <w:szCs w:val="17"/>
              </w:rPr>
              <w:t xml:space="preserve">Orange</w:t>
            </w:r>
          </w:p>
          <w:p>
            <w:pPr>
              <w:spacing w:after="0" w:before="0"/>
              <w:jc w:val="left"/>
            </w:pPr>
            <w:r>
              <w:rPr>
                <w:rFonts w:ascii="Arial" w:cs="Arial" w:eastAsia="Arial" w:hAnsi="Arial"/>
                <w:color w:val="1F2A24"/>
                <w:sz w:val="15"/>
                <w:szCs w:val="15"/>
              </w:rPr>
              <w:t xml:space="preserve">#FE7402</w:t>
            </w:r>
          </w:p>
        </w:tc>
        <w:tc>
          <w:tcPr>
            <w:tcW w:type="dxa" w:w="1984"/>
            <w:tcBorders>
              <w:top w:val="none" w:color="FFFFFF" w:sz="0"/>
              <w:left w:val="none" w:color="FFFFFF" w:sz="0"/>
              <w:bottom w:val="none" w:color="FFFFFF" w:sz="0"/>
              <w:right w:val="none" w:color="FFFFFF" w:sz="0"/>
            </w:tcBorders>
            <w:shd w:fill="037C30" w:val="clear"/>
            <w:tcMar>
              <w:top w:type="dxa" w:w="0"/>
              <w:left w:type="dxa" w:w="300"/>
              <w:bottom w:type="dxa" w:w="200"/>
              <w:right w:type="dxa" w:w="100"/>
            </w:tcMar>
            <w:vAlign w:val="bottom"/>
          </w:tcPr>
          <w:p>
            <w:pPr>
              <w:spacing w:after="0" w:before="0"/>
              <w:jc w:val="left"/>
            </w:pPr>
            <w:r>
              <w:rPr>
                <w:rFonts w:ascii="Arial" w:cs="Arial" w:eastAsia="Arial" w:hAnsi="Arial"/>
                <w:b/>
                <w:bCs/>
                <w:color w:val="FFFFFF"/>
                <w:sz w:val="17"/>
                <w:szCs w:val="17"/>
              </w:rPr>
              <w:t xml:space="preserve">Vert</w:t>
            </w:r>
          </w:p>
          <w:p>
            <w:pPr>
              <w:spacing w:after="0" w:before="0"/>
              <w:jc w:val="left"/>
            </w:pPr>
            <w:r>
              <w:rPr>
                <w:rFonts w:ascii="Arial" w:cs="Arial" w:eastAsia="Arial" w:hAnsi="Arial"/>
                <w:color w:val="FFFFFF"/>
                <w:sz w:val="15"/>
                <w:szCs w:val="15"/>
              </w:rPr>
              <w:t xml:space="preserve">#037C30</w:t>
            </w:r>
          </w:p>
        </w:tc>
        <w:tc>
          <w:tcPr>
            <w:tcW w:type="dxa" w:w="1984"/>
            <w:tcBorders>
              <w:top w:val="none" w:color="FFFFFF" w:sz="0"/>
              <w:left w:val="none" w:color="FFFFFF" w:sz="0"/>
              <w:bottom w:val="none" w:color="FFFFFF" w:sz="0"/>
              <w:right w:val="none" w:color="FFFFFF" w:sz="0"/>
            </w:tcBorders>
            <w:shd w:fill="0B5A2A" w:val="clear"/>
            <w:tcMar>
              <w:top w:type="dxa" w:w="0"/>
              <w:left w:type="dxa" w:w="300"/>
              <w:bottom w:type="dxa" w:w="200"/>
              <w:right w:type="dxa" w:w="100"/>
            </w:tcMar>
            <w:vAlign w:val="bottom"/>
          </w:tcPr>
          <w:p>
            <w:pPr>
              <w:spacing w:after="0" w:before="0"/>
              <w:jc w:val="left"/>
            </w:pPr>
            <w:r>
              <w:rPr>
                <w:rFonts w:ascii="Arial" w:cs="Arial" w:eastAsia="Arial" w:hAnsi="Arial"/>
                <w:b/>
                <w:bCs/>
                <w:color w:val="FFFFFF"/>
                <w:sz w:val="17"/>
                <w:szCs w:val="17"/>
              </w:rPr>
              <w:t xml:space="preserve">Vert profond</w:t>
            </w:r>
          </w:p>
          <w:p>
            <w:pPr>
              <w:spacing w:after="0" w:before="0"/>
              <w:jc w:val="left"/>
            </w:pPr>
            <w:r>
              <w:rPr>
                <w:rFonts w:ascii="Arial" w:cs="Arial" w:eastAsia="Arial" w:hAnsi="Arial"/>
                <w:color w:val="FFFFFF"/>
                <w:sz w:val="15"/>
                <w:szCs w:val="15"/>
              </w:rPr>
              <w:t xml:space="preserve">#0B5A2A</w:t>
            </w:r>
          </w:p>
        </w:tc>
        <w:tc>
          <w:tcPr>
            <w:tcW w:type="dxa" w:w="1984"/>
            <w:tcBorders>
              <w:top w:val="none" w:color="FFFFFF" w:sz="0"/>
              <w:left w:val="none" w:color="FFFFFF" w:sz="0"/>
              <w:bottom w:val="none" w:color="FFFFFF" w:sz="0"/>
              <w:right w:val="none" w:color="FFFFFF" w:sz="0"/>
            </w:tcBorders>
            <w:shd w:fill="FFF0E0" w:val="clear"/>
            <w:tcMar>
              <w:top w:type="dxa" w:w="0"/>
              <w:left w:type="dxa" w:w="300"/>
              <w:bottom w:type="dxa" w:w="200"/>
              <w:right w:type="dxa" w:w="100"/>
            </w:tcMar>
            <w:vAlign w:val="bottom"/>
          </w:tcPr>
          <w:p>
            <w:pPr>
              <w:spacing w:after="0" w:before="0"/>
              <w:jc w:val="left"/>
            </w:pPr>
            <w:r>
              <w:rPr>
                <w:rFonts w:ascii="Arial" w:cs="Arial" w:eastAsia="Arial" w:hAnsi="Arial"/>
                <w:b/>
                <w:bCs/>
                <w:color w:val="1F2A24"/>
                <w:sz w:val="17"/>
                <w:szCs w:val="17"/>
              </w:rPr>
              <w:t xml:space="preserve">Orange pâle</w:t>
            </w:r>
          </w:p>
          <w:p>
            <w:pPr>
              <w:spacing w:after="0" w:before="0"/>
              <w:jc w:val="left"/>
            </w:pPr>
            <w:r>
              <w:rPr>
                <w:rFonts w:ascii="Arial" w:cs="Arial" w:eastAsia="Arial" w:hAnsi="Arial"/>
                <w:color w:val="1F2A24"/>
                <w:sz w:val="15"/>
                <w:szCs w:val="15"/>
              </w:rPr>
              <w:t xml:space="preserve">#FFF0E0</w:t>
            </w:r>
          </w:p>
        </w:tc>
        <w:tc>
          <w:tcPr>
            <w:tcW w:type="dxa" w:w="1984"/>
            <w:tcBorders>
              <w:top w:val="none" w:color="FFFFFF" w:sz="0"/>
              <w:left w:val="none" w:color="FFFFFF" w:sz="0"/>
              <w:bottom w:val="none" w:color="FFFFFF" w:sz="0"/>
              <w:right w:val="none" w:color="FFFFFF" w:sz="0"/>
            </w:tcBorders>
            <w:shd w:fill="E8F5EC" w:val="clear"/>
            <w:tcMar>
              <w:top w:type="dxa" w:w="0"/>
              <w:left w:type="dxa" w:w="300"/>
              <w:bottom w:type="dxa" w:w="200"/>
              <w:right w:type="dxa" w:w="100"/>
            </w:tcMar>
            <w:vAlign w:val="bottom"/>
          </w:tcPr>
          <w:p>
            <w:pPr>
              <w:spacing w:after="0" w:before="0"/>
              <w:jc w:val="left"/>
            </w:pPr>
            <w:r>
              <w:rPr>
                <w:rFonts w:ascii="Arial" w:cs="Arial" w:eastAsia="Arial" w:hAnsi="Arial"/>
                <w:b/>
                <w:bCs/>
                <w:color w:val="1F2A24"/>
                <w:sz w:val="17"/>
                <w:szCs w:val="17"/>
              </w:rPr>
              <w:t xml:space="preserve">Vert pâle</w:t>
            </w:r>
          </w:p>
          <w:p>
            <w:pPr>
              <w:spacing w:after="0" w:before="0"/>
              <w:jc w:val="left"/>
            </w:pPr>
            <w:r>
              <w:rPr>
                <w:rFonts w:ascii="Arial" w:cs="Arial" w:eastAsia="Arial" w:hAnsi="Arial"/>
                <w:color w:val="1F2A24"/>
                <w:sz w:val="15"/>
                <w:szCs w:val="15"/>
              </w:rPr>
              <w:t xml:space="preserve">#E8F5EC</w:t>
            </w:r>
          </w:p>
        </w:tc>
        <w:tc>
          <w:tcPr>
            <w:tcW w:type="dxa" w:w="1986"/>
            <w:tcBorders>
              <w:top w:val="none" w:color="FFFFFF" w:sz="0"/>
              <w:left w:val="none" w:color="FFFFFF" w:sz="0"/>
              <w:bottom w:val="none" w:color="FFFFFF" w:sz="0"/>
              <w:right w:val="none" w:color="FFFFFF" w:sz="0"/>
            </w:tcBorders>
            <w:shd w:fill="1F2A24" w:val="clear"/>
            <w:tcMar>
              <w:top w:type="dxa" w:w="0"/>
              <w:left w:type="dxa" w:w="300"/>
              <w:bottom w:type="dxa" w:w="200"/>
              <w:right w:type="dxa" w:w="100"/>
            </w:tcMar>
            <w:vAlign w:val="bottom"/>
          </w:tcPr>
          <w:p>
            <w:pPr>
              <w:spacing w:after="0" w:before="0"/>
              <w:jc w:val="left"/>
            </w:pPr>
            <w:r>
              <w:rPr>
                <w:rFonts w:ascii="Arial" w:cs="Arial" w:eastAsia="Arial" w:hAnsi="Arial"/>
                <w:b/>
                <w:bCs/>
                <w:color w:val="FFFFFF"/>
                <w:sz w:val="17"/>
                <w:szCs w:val="17"/>
              </w:rPr>
              <w:t xml:space="preserve">Texte</w:t>
            </w:r>
          </w:p>
          <w:p>
            <w:pPr>
              <w:spacing w:after="0" w:before="0"/>
              <w:jc w:val="left"/>
            </w:pPr>
            <w:r>
              <w:rPr>
                <w:rFonts w:ascii="Arial" w:cs="Arial" w:eastAsia="Arial" w:hAnsi="Arial"/>
                <w:color w:val="FFFFFF"/>
                <w:sz w:val="15"/>
                <w:szCs w:val="15"/>
              </w:rPr>
              <w:t xml:space="preserve">#1F2A24</w:t>
            </w:r>
          </w:p>
        </w:tc>
      </w:tr>
      <w:tr>
        <w:trPr>
          <w:trHeight w:val="2600" w:hRule="exact"/>
        </w:trPr>
        <w:tc>
          <w:tcPr>
            <w:tcW w:type="dxa" w:w="11906"/>
            <w:tcBorders>
              <w:top w:val="none" w:color="FFFFFF" w:sz="0"/>
              <w:left w:val="none" w:color="FFFFFF" w:sz="0"/>
              <w:bottom w:val="none" w:color="FFFFFF" w:sz="0"/>
              <w:right w:val="none" w:color="FFFFFF" w:sz="0"/>
            </w:tcBorders>
            <w:shd w:fill="0B5A2A" w:val="clear"/>
            <w:tcMar>
              <w:top w:type="dxa" w:w="0"/>
              <w:left w:type="dxa" w:w="900"/>
              <w:bottom w:type="dxa" w:w="0"/>
              <w:right w:type="dxa" w:w="900"/>
            </w:tcMar>
            <w:vAlign w:val="center"/>
          </w:tcPr>
          <w:p>
            <w:pPr>
              <w:spacing w:after="0" w:before="0"/>
              <w:jc w:val="center"/>
            </w:pPr>
            <w:r>
              <w:rPr>
                <w:rFonts w:ascii="Arial" w:cs="Arial" w:eastAsia="Arial" w:hAnsi="Arial"/>
                <w:color w:val="FFFFFF"/>
                <w:sz w:val="19"/>
                <w:szCs w:val="19"/>
              </w:rPr>
              <w:t xml:space="preserve">Référentiel de conception pour le site, l’application et la documentation</w:t>
            </w:r>
          </w:p>
          <w:p>
            <w:pPr>
              <w:spacing w:after="0" w:before="80"/>
              <w:jc w:val="center"/>
            </w:pPr>
            <w:r>
              <w:rPr>
                <w:rFonts w:ascii="Arial" w:cs="Arial" w:eastAsia="Arial" w:hAnsi="Arial"/>
                <w:b/>
                <w:bCs/>
                <w:color w:val="F9B27A"/>
                <w:spacing w:val="40"/>
                <w:sz w:val="17"/>
                <w:szCs w:val="17"/>
              </w:rPr>
              <w:t xml:space="preserve">v2.0</w:t>
            </w:r>
          </w:p>
        </w:tc>
      </w:tr>
    </w:tbl>
    <w:p>
      <w:pPr>
        <w:spacing w:after="0" w:line="20"/>
      </w:pPr>
      <w:r>
        <w:rPr>
          <w:sz w:val="2"/>
          <w:szCs w:val="2"/>
        </w:rPr>
        <w:t xml:space="preserve"/>
      </w:r>
    </w:p>
    <w:p>
      <w:pPr>
        <w:sectPr>
          <w:pgSz w:w="11906" w:h="16838" w:orient="portrait"/>
          <w:pgMar w:top="0" w:right="0" w:bottom="0" w:left="0" w:header="0" w:footer="0" w:gutter="0"/>
          <w:pgNumType/>
          <w:docGrid w:linePitch="360"/>
        </w:sect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FE7402" w:sz="24"/>
              <w:bottom w:val="none"/>
              <w:right w:val="none"/>
            </w:tcBorders>
            <w:shd w:fill="FFF0E0" w:val="clear"/>
            <w:tcMar>
              <w:top w:type="dxa" w:w="100"/>
              <w:left w:type="dxa" w:w="160"/>
              <w:bottom w:type="dxa" w:w="100"/>
              <w:right w:type="dxa" w:w="160"/>
            </w:tcMar>
          </w:tcPr>
          <w:p>
            <w:pPr>
              <w:spacing w:after="0" w:line="290"/>
            </w:pPr>
            <w:r>
              <w:rPr>
                <w:rFonts w:ascii="Arial" w:cs="Arial" w:eastAsia="Arial" w:hAnsi="Arial"/>
                <w:b/>
                <w:bCs/>
                <w:color w:val="1F2A24"/>
                <w:sz w:val="21"/>
                <w:szCs w:val="21"/>
              </w:rPr>
              <w:t xml:space="preserve">Statut.</w:t>
            </w:r>
            <w:r>
              <w:rPr>
                <w:rFonts w:ascii="Arial" w:cs="Arial" w:eastAsia="Arial" w:hAnsi="Arial"/>
                <w:color w:val="1F2A24"/>
                <w:sz w:val="21"/>
                <w:szCs w:val="21"/>
              </w:rPr>
              <w:t xml:space="preserve"> Version 2.0. Le logo fourni sert de </w:t>
            </w:r>
            <w:r>
              <w:rPr>
                <w:rFonts w:ascii="Arial" w:cs="Arial" w:eastAsia="Arial" w:hAnsi="Arial"/>
                <w:b/>
                <w:bCs/>
                <w:color w:val="1F2A24"/>
                <w:sz w:val="21"/>
                <w:szCs w:val="21"/>
              </w:rPr>
              <w:t xml:space="preserve">modèle de départ</w:t>
            </w:r>
            <w:r>
              <w:rPr>
                <w:rFonts w:ascii="Arial" w:cs="Arial" w:eastAsia="Arial" w:hAnsi="Arial"/>
                <w:color w:val="1F2A24"/>
                <w:sz w:val="21"/>
                <w:szCs w:val="21"/>
              </w:rPr>
              <w:t xml:space="preserve"> ; la palette v2 en est extraite par mesure (les couleurs de la v1 étaient des estimations). Les éléments marqués </w:t>
            </w:r>
            <w:r>
              <w:rPr>
                <w:rFonts w:ascii="Arial" w:cs="Arial" w:eastAsia="Arial" w:hAnsi="Arial"/>
                <w:b/>
                <w:bCs/>
                <w:color w:val="1F2A24"/>
                <w:sz w:val="21"/>
                <w:szCs w:val="21"/>
              </w:rPr>
              <w:t xml:space="preserve">Proposé</w:t>
            </w:r>
            <w:r>
              <w:rPr>
                <w:rFonts w:ascii="Arial" w:cs="Arial" w:eastAsia="Arial" w:hAnsi="Arial"/>
                <w:color w:val="1F2A24"/>
                <w:sz w:val="21"/>
                <w:szCs w:val="21"/>
              </w:rPr>
              <w:t xml:space="preserve"> attendent la validation de la MOA. Les fichiers maîtres vectoriels sont désormais livrés (§6).</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1. Objet et principes de marque</w:t>
      </w:r>
    </w:p>
    <w:p>
      <w:pPr>
        <w:spacing w:after="110" w:line="300"/>
      </w:pPr>
      <w:r>
        <w:rPr>
          <w:rFonts w:ascii="Arial" w:cs="Arial" w:eastAsia="Arial" w:hAnsi="Arial"/>
          <w:color w:val="1F2A24"/>
          <w:sz w:val="21"/>
          <w:szCs w:val="21"/>
        </w:rPr>
        <w:t xml:space="preserve">Cette charte est la source unique pour concevoir les écrans, supports et documents de Soutrali. La marque exprime une entraide concrète, accessible et digne de confiance, ancrée dans la vie quotidienne ivoirienne : chaleureuse sans être enfantine, moderne sans ressembler à un kit d’interface générique.</w:t>
      </w:r>
    </w:p>
    <w:p>
      <w:pPr>
        <w:pStyle w:val="ListParagraph"/>
        <w:numPr>
          <w:ilvl w:val="0"/>
          <w:numId w:val="2"/>
        </w:numPr>
        <w:spacing w:after="70" w:line="290"/>
      </w:pPr>
      <w:r>
        <w:rPr>
          <w:rFonts w:ascii="Arial" w:cs="Arial" w:eastAsia="Arial" w:hAnsi="Arial"/>
          <w:b/>
          <w:bCs/>
          <w:color w:val="1F2A24"/>
          <w:sz w:val="21"/>
          <w:szCs w:val="21"/>
        </w:rPr>
        <w:t xml:space="preserve">Humain</w:t>
      </w:r>
      <w:r>
        <w:rPr>
          <w:rFonts w:ascii="Arial" w:cs="Arial" w:eastAsia="Arial" w:hAnsi="Arial"/>
          <w:color w:val="1F2A24"/>
          <w:sz w:val="21"/>
          <w:szCs w:val="21"/>
        </w:rPr>
        <w:t xml:space="preserve"> : mots simples, visuels qui valorisent les personnes.</w:t>
      </w:r>
    </w:p>
    <w:p>
      <w:pPr>
        <w:pStyle w:val="ListParagraph"/>
        <w:numPr>
          <w:ilvl w:val="0"/>
          <w:numId w:val="2"/>
        </w:numPr>
        <w:spacing w:after="70" w:line="290"/>
      </w:pPr>
      <w:r>
        <w:rPr>
          <w:rFonts w:ascii="Arial" w:cs="Arial" w:eastAsia="Arial" w:hAnsi="Arial"/>
          <w:b/>
          <w:bCs/>
          <w:color w:val="1F2A24"/>
          <w:sz w:val="21"/>
          <w:szCs w:val="21"/>
        </w:rPr>
        <w:t xml:space="preserve">Local</w:t>
      </w:r>
      <w:r>
        <w:rPr>
          <w:rFonts w:ascii="Arial" w:cs="Arial" w:eastAsia="Arial" w:hAnsi="Arial"/>
          <w:color w:val="1F2A24"/>
          <w:sz w:val="21"/>
          <w:szCs w:val="21"/>
        </w:rPr>
        <w:t xml:space="preserve"> : exemples, lieux et situations crédibles pour Abidjan et la Côte d’Ivoire.</w:t>
      </w:r>
    </w:p>
    <w:p>
      <w:pPr>
        <w:pStyle w:val="ListParagraph"/>
        <w:numPr>
          <w:ilvl w:val="0"/>
          <w:numId w:val="2"/>
        </w:numPr>
        <w:spacing w:after="70" w:line="290"/>
      </w:pPr>
      <w:r>
        <w:rPr>
          <w:rFonts w:ascii="Arial" w:cs="Arial" w:eastAsia="Arial" w:hAnsi="Arial"/>
          <w:b/>
          <w:bCs/>
          <w:color w:val="1F2A24"/>
          <w:sz w:val="21"/>
          <w:szCs w:val="21"/>
        </w:rPr>
        <w:t xml:space="preserve">Fiable</w:t>
      </w:r>
      <w:r>
        <w:rPr>
          <w:rFonts w:ascii="Arial" w:cs="Arial" w:eastAsia="Arial" w:hAnsi="Arial"/>
          <w:color w:val="1F2A24"/>
          <w:sz w:val="21"/>
          <w:szCs w:val="21"/>
        </w:rPr>
        <w:t xml:space="preserve"> : hiérarchie claire, statuts explicites, contrastes suffisants, pas d’effets gratuits.</w:t>
      </w:r>
    </w:p>
    <w:p>
      <w:pPr>
        <w:pStyle w:val="ListParagraph"/>
        <w:numPr>
          <w:ilvl w:val="0"/>
          <w:numId w:val="2"/>
        </w:numPr>
        <w:spacing w:after="70" w:line="290"/>
      </w:pPr>
      <w:r>
        <w:rPr>
          <w:rFonts w:ascii="Arial" w:cs="Arial" w:eastAsia="Arial" w:hAnsi="Arial"/>
          <w:b/>
          <w:bCs/>
          <w:color w:val="1F2A24"/>
          <w:sz w:val="21"/>
          <w:szCs w:val="21"/>
        </w:rPr>
        <w:t xml:space="preserve">Distinctif</w:t>
      </w:r>
      <w:r>
        <w:rPr>
          <w:rFonts w:ascii="Arial" w:cs="Arial" w:eastAsia="Arial" w:hAnsi="Arial"/>
          <w:color w:val="1F2A24"/>
          <w:sz w:val="21"/>
          <w:szCs w:val="21"/>
        </w:rPr>
        <w:t xml:space="preserve"> : typographie affirmée, détails de marque récurrents, composants dessinés pour Soutrali.</w:t>
      </w:r>
    </w:p>
    <w:p>
      <w:pPr>
        <w:pStyle w:val="Heading1"/>
        <w:pBdr>
          <w:bottom w:val="single" w:color="FE7402" w:sz="8" w:space="4"/>
        </w:pBdr>
        <w:spacing w:after="140" w:before="360"/>
      </w:pPr>
      <w:r>
        <w:rPr>
          <w:rFonts w:ascii="Arial" w:cs="Arial" w:eastAsia="Arial" w:hAnsi="Arial"/>
          <w:b/>
          <w:bCs/>
          <w:color w:val="0B5A2A"/>
          <w:sz w:val="32"/>
          <w:szCs w:val="32"/>
        </w:rPr>
        <w:t xml:space="preserve">2. Logo</w:t>
      </w:r>
    </w:p>
    <w:p>
      <w:pPr>
        <w:spacing w:after="110" w:line="300"/>
      </w:pPr>
      <w:r>
        <w:rPr>
          <w:rFonts w:ascii="Arial" w:cs="Arial" w:eastAsia="Arial" w:hAnsi="Arial"/>
          <w:color w:val="1F2A24"/>
          <w:sz w:val="21"/>
          <w:szCs w:val="21"/>
        </w:rPr>
        <w:t xml:space="preserve">Symbole : deux mains entrelacées formant un « S », l’une orange, l’autre verte. Mot-symbole : « S » orange, « outrali » vert, accent orange en forme de feuille sur le « i ». Signature : « L’entraide à porter de main ».</w:t>
      </w:r>
    </w:p>
    <w:p>
      <w:pPr>
        <w:spacing w:after="120"/>
        <w:jc w:val="center"/>
      </w:pPr>
      <w:r>
        <w:drawing>
          <wp:inline distT="0" distB="0" distL="0" distR="0">
            <wp:extent cx="2857500" cy="2400300"/>
            <wp:effectExtent t="0" r="0" b="0" l="0"/>
            <wp:docPr id="1" name="v.png" descr="Logo Soutrali" title="Logo Soutr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400300"/>
                    </a:xfrm>
                    <a:prstGeom prst="rect">
                      <a:avLst/>
                    </a:prstGeom>
                  </pic:spPr>
                </pic:pic>
              </a:graphicData>
            </a:graphic>
          </wp:inline>
        </w:drawing>
      </w:r>
    </w:p>
    <w:p>
      <w:pPr>
        <w:spacing w:after="120"/>
        <w:jc w:val="center"/>
      </w:pPr>
      <w:r>
        <w:drawing>
          <wp:inline distT="0" distB="0" distL="0" distR="0">
            <wp:extent cx="4572000" cy="1257300"/>
            <wp:effectExtent t="0" r="0" b="0" l="0"/>
            <wp:docPr id="1" name="h.png" descr="Logo Soutrali" title="Logo Soutr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257300"/>
                    </a:xfrm>
                    <a:prstGeom prst="rect">
                      <a:avLst/>
                    </a:prstGeom>
                  </pic:spPr>
                </pic:pic>
              </a:graphicData>
            </a:graphic>
          </wp:inline>
        </w:drawing>
      </w:r>
    </w:p>
    <w:p>
      <w:pPr>
        <w:spacing w:after="120"/>
        <w:jc w:val="center"/>
      </w:pPr>
      <w:r>
        <w:drawing>
          <wp:inline distT="0" distB="0" distL="0" distR="0">
            <wp:extent cx="4572000" cy="1257300"/>
            <wp:effectExtent t="0" r="0" b="0" l="0"/>
            <wp:docPr id="1" name="inv.png" descr="Logo Soutrali" title="Logo Soutr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257300"/>
                    </a:xfrm>
                    <a:prstGeom prst="rect">
                      <a:avLst/>
                    </a:prstGeom>
                  </pic:spPr>
                </pic:pic>
              </a:graphicData>
            </a:graphic>
          </wp:inline>
        </w:drawing>
      </w:r>
    </w:p>
    <w:p>
      <w:pPr>
        <w:pStyle w:val="Heading2"/>
        <w:spacing w:after="100" w:before="240"/>
      </w:pPr>
      <w:r>
        <w:rPr>
          <w:rFonts w:ascii="Arial" w:cs="Arial" w:eastAsia="Arial" w:hAnsi="Arial"/>
          <w:b/>
          <w:bCs/>
          <w:color w:val="037C30"/>
          <w:sz w:val="25"/>
          <w:szCs w:val="25"/>
        </w:rPr>
        <w:t xml:space="preserve">2.1 Variantes livrées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3313"/>
        <w:gridCol w:w="4116"/>
      </w:tblGrid>
      <w:tr>
        <w:trPr>
          <w:tblHeader/>
        </w:trPr>
        <w:tc>
          <w:tcPr>
            <w:tcW w:type="dxa" w:w="2209"/>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Variante</w:t>
            </w:r>
          </w:p>
        </w:tc>
        <w:tc>
          <w:tcPr>
            <w:tcW w:type="dxa" w:w="3313"/>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Usage</w:t>
            </w:r>
          </w:p>
        </w:tc>
        <w:tc>
          <w:tcPr>
            <w:tcW w:type="dxa" w:w="4116"/>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Fichiers (dossier /brand/logo)</w:t>
            </w:r>
          </w:p>
        </w:tc>
      </w:tr>
      <w:tr>
        <w:trPr>
          <w:cantSplit/>
        </w:trPr>
        <w:tc>
          <w:tcPr>
            <w:tcW w:type="dxa" w:w="22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Vertical + signature</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Accueil, couverture, supports institutionnels</w:t>
            </w:r>
          </w:p>
        </w:tc>
        <w:tc>
          <w:tcPr>
            <w:tcW w:type="dxa" w:w="411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soutrali-logo-vertical-v1.svg / -transparent-v1.png / -print-v1.pdf</w:t>
            </w:r>
          </w:p>
        </w:tc>
      </w:tr>
      <w:tr>
        <w:trPr>
          <w:cantSplit/>
        </w:trPr>
        <w:tc>
          <w:tcPr>
            <w:tcW w:type="dxa" w:w="22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Vertical sans signature</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Quand la signature devient illisible</w:t>
            </w:r>
          </w:p>
        </w:tc>
        <w:tc>
          <w:tcPr>
            <w:tcW w:type="dxa" w:w="411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soutrali-logo-vertical-sans-signature-v1.svg</w:t>
            </w:r>
          </w:p>
        </w:tc>
      </w:tr>
      <w:tr>
        <w:trPr>
          <w:cantSplit/>
        </w:trPr>
        <w:tc>
          <w:tcPr>
            <w:tcW w:type="dxa" w:w="22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Horizontal</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En-tête du site, pied de page, documents</w:t>
            </w:r>
          </w:p>
        </w:tc>
        <w:tc>
          <w:tcPr>
            <w:tcW w:type="dxa" w:w="411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soutrali-logo-horizontal-v1.svg / -transparent-v1.png / -print-v1.pdf</w:t>
            </w:r>
          </w:p>
        </w:tc>
      </w:tr>
      <w:tr>
        <w:trPr>
          <w:cantSplit/>
        </w:trPr>
        <w:tc>
          <w:tcPr>
            <w:tcW w:type="dxa" w:w="22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Symbole seul</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Avatar, icône, petite zone</w:t>
            </w:r>
          </w:p>
        </w:tc>
        <w:tc>
          <w:tcPr>
            <w:tcW w:type="dxa" w:w="411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soutrali-symbol-v1.svg / -transparent-v1.png</w:t>
            </w:r>
          </w:p>
        </w:tc>
      </w:tr>
      <w:tr>
        <w:trPr>
          <w:cantSplit/>
        </w:trPr>
        <w:tc>
          <w:tcPr>
            <w:tcW w:type="dxa" w:w="22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Monochrome noir</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Tampon, impression une couleur, fonds clairs complexes</w:t>
            </w:r>
          </w:p>
        </w:tc>
        <w:tc>
          <w:tcPr>
            <w:tcW w:type="dxa" w:w="411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…-mono-noir-v1.svg (vertical, horizontal, symbole)</w:t>
            </w:r>
          </w:p>
        </w:tc>
      </w:tr>
      <w:tr>
        <w:trPr>
          <w:cantSplit/>
        </w:trPr>
        <w:tc>
          <w:tcPr>
            <w:tcW w:type="dxa" w:w="22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Monochrome blanc</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Fonds sombres ou photos avec aplat</w:t>
            </w:r>
          </w:p>
        </w:tc>
        <w:tc>
          <w:tcPr>
            <w:tcW w:type="dxa" w:w="411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…-mono-blanc-v1.svg (vertical, horizontal, symbole)</w:t>
            </w:r>
          </w:p>
        </w:tc>
      </w:tr>
      <w:tr>
        <w:trPr>
          <w:cantSplit/>
        </w:trPr>
        <w:tc>
          <w:tcPr>
            <w:tcW w:type="dxa" w:w="22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Inversée</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Fond vert profond (#0B5A2A) : parties vertes en blanc, orange conservé</w:t>
            </w:r>
          </w:p>
        </w:tc>
        <w:tc>
          <w:tcPr>
            <w:tcW w:type="dxa" w:w="411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…-inverse-v1.svg (vertical, horizontal, symbole)</w:t>
            </w:r>
          </w:p>
        </w:tc>
      </w:tr>
    </w:tbl>
    <w:p>
      <w:pPr>
        <w:pStyle w:val="Heading2"/>
        <w:spacing w:after="100" w:before="240"/>
      </w:pPr>
      <w:r>
        <w:rPr>
          <w:rFonts w:ascii="Arial" w:cs="Arial" w:eastAsia="Arial" w:hAnsi="Arial"/>
          <w:b/>
          <w:bCs/>
          <w:color w:val="037C30"/>
          <w:sz w:val="25"/>
          <w:szCs w:val="25"/>
        </w:rPr>
        <w:t xml:space="preserve">2.2 Règles d’utilisation</w:t>
      </w:r>
    </w:p>
    <w:p>
      <w:pPr>
        <w:pStyle w:val="ListParagraph"/>
        <w:numPr>
          <w:ilvl w:val="0"/>
          <w:numId w:val="2"/>
        </w:numPr>
        <w:spacing w:after="70" w:line="290"/>
      </w:pPr>
      <w:r>
        <w:rPr>
          <w:rFonts w:ascii="Arial" w:cs="Arial" w:eastAsia="Arial" w:hAnsi="Arial"/>
          <w:color w:val="1F2A24"/>
          <w:sz w:val="21"/>
          <w:szCs w:val="21"/>
        </w:rPr>
        <w:t xml:space="preserve">Zone de protection : au moins la hauteur du « S » du mot-symbole autour du logo (la v1 indiquait la hauteur du symbole, trop large en pratique).</w:t>
      </w:r>
    </w:p>
    <w:p>
      <w:pPr>
        <w:pStyle w:val="ListParagraph"/>
        <w:numPr>
          <w:ilvl w:val="0"/>
          <w:numId w:val="2"/>
        </w:numPr>
        <w:spacing w:after="70" w:line="290"/>
      </w:pPr>
      <w:r>
        <w:rPr>
          <w:rFonts w:ascii="Arial" w:cs="Arial" w:eastAsia="Arial" w:hAnsi="Arial"/>
          <w:color w:val="1F2A24"/>
          <w:sz w:val="21"/>
          <w:szCs w:val="21"/>
        </w:rPr>
        <w:t xml:space="preserve">Ne pas étirer, incliner, ombrer, contourer ni recolorer le logo ; ne pas recréer les formes, utiliser les fichiers.</w:t>
      </w:r>
    </w:p>
    <w:p>
      <w:pPr>
        <w:pStyle w:val="ListParagraph"/>
        <w:numPr>
          <w:ilvl w:val="0"/>
          <w:numId w:val="2"/>
        </w:numPr>
        <w:spacing w:after="70" w:line="290"/>
      </w:pPr>
      <w:r>
        <w:rPr>
          <w:rFonts w:ascii="Arial" w:cs="Arial" w:eastAsia="Arial" w:hAnsi="Arial"/>
          <w:color w:val="1F2A24"/>
          <w:sz w:val="21"/>
          <w:szCs w:val="21"/>
        </w:rPr>
        <w:t xml:space="preserve">Sur photo : toujours un aplat de contraste. Sur fond vert profond : version inversée.</w:t>
      </w:r>
    </w:p>
    <w:p>
      <w:pPr>
        <w:pStyle w:val="ListParagraph"/>
        <w:numPr>
          <w:ilvl w:val="0"/>
          <w:numId w:val="2"/>
        </w:numPr>
        <w:spacing w:after="70" w:line="290"/>
      </w:pPr>
      <w:r>
        <w:rPr>
          <w:rFonts w:ascii="Arial" w:cs="Arial" w:eastAsia="Arial" w:hAnsi="Arial"/>
          <w:color w:val="1F2A24"/>
          <w:sz w:val="21"/>
          <w:szCs w:val="21"/>
        </w:rPr>
        <w:t xml:space="preserve">Signature : à retirer lorsque sa lecture devient difficile (largeur disponible faible) ; utiliser alors la variante sans signature ou horizontale.</w:t>
      </w:r>
    </w:p>
    <w:p>
      <w:pPr>
        <w:pStyle w:val="ListParagraph"/>
        <w:numPr>
          <w:ilvl w:val="0"/>
          <w:numId w:val="2"/>
        </w:numPr>
        <w:spacing w:after="70" w:line="290"/>
      </w:pPr>
      <w:r>
        <w:rPr>
          <w:rFonts w:ascii="Arial" w:cs="Arial" w:eastAsia="Arial" w:hAnsi="Arial"/>
          <w:color w:val="1F2A24"/>
          <w:sz w:val="21"/>
          <w:szCs w:val="21"/>
        </w:rPr>
        <w:t xml:space="preserve">Tailles minimales indicatives : logo complet 140 px de large, symbole seul 24 px (idéalement 32 px et plus).</w:t>
      </w:r>
    </w:p>
    <w:p>
      <w:pPr>
        <w:pStyle w:val="ListParagraph"/>
        <w:numPr>
          <w:ilvl w:val="0"/>
          <w:numId w:val="2"/>
        </w:numPr>
        <w:spacing w:after="70" w:line="290"/>
      </w:pPr>
      <w:r>
        <w:rPr>
          <w:rFonts w:ascii="Arial" w:cs="Arial" w:eastAsia="Arial" w:hAnsi="Arial"/>
          <w:color w:val="1F2A24"/>
          <w:sz w:val="21"/>
          <w:szCs w:val="21"/>
        </w:rPr>
        <w:t xml:space="preserve">L’orange de la marque ne s’emploie pas pour du texte courant sur fond clair (contraste insuffisant, voir §3).</w:t>
      </w:r>
    </w:p>
    <w:p>
      <w:pPr>
        <w:pStyle w:val="Heading1"/>
        <w:pBdr>
          <w:bottom w:val="single" w:color="FE7402" w:sz="8" w:space="4"/>
        </w:pBdr>
        <w:spacing w:after="140" w:before="360"/>
      </w:pPr>
      <w:r>
        <w:rPr>
          <w:rFonts w:ascii="Arial" w:cs="Arial" w:eastAsia="Arial" w:hAnsi="Arial"/>
          <w:b/>
          <w:bCs/>
          <w:color w:val="0B5A2A"/>
          <w:sz w:val="32"/>
          <w:szCs w:val="32"/>
        </w:rPr>
        <w:t xml:space="preserve">3. Palette de couleurs v2</w:t>
      </w:r>
    </w:p>
    <w:p>
      <w:pPr>
        <w:spacing w:after="110" w:line="300"/>
      </w:pPr>
      <w:r>
        <w:rPr>
          <w:rFonts w:ascii="Arial" w:cs="Arial" w:eastAsia="Arial" w:hAnsi="Arial"/>
          <w:color w:val="1F2A24"/>
          <w:sz w:val="21"/>
          <w:szCs w:val="21"/>
        </w:rPr>
        <w:t xml:space="preserve">Les couleurs de marque sont les valeurs mesurées sur le logo fourni (orange #FE7402, vert #037C30). Les couleurs d’interface en sont dérivées pour garantir la lisibilité. Les ratios ci-dessous sont </w:t>
      </w:r>
      <w:r>
        <w:rPr>
          <w:rFonts w:ascii="Arial" w:cs="Arial" w:eastAsia="Arial" w:hAnsi="Arial"/>
          <w:b/>
          <w:bCs/>
          <w:color w:val="1F2A24"/>
          <w:sz w:val="21"/>
          <w:szCs w:val="21"/>
        </w:rPr>
        <w:t xml:space="preserve">calculés</w:t>
      </w:r>
      <w:r>
        <w:rPr>
          <w:rFonts w:ascii="Arial" w:cs="Arial" w:eastAsia="Arial" w:hAnsi="Arial"/>
          <w:color w:val="1F2A24"/>
          <w:sz w:val="21"/>
          <w:szCs w:val="21"/>
        </w:rPr>
        <w:t xml:space="preserve"> selon la formule WCAG 2.x.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8"/>
        <w:gridCol w:w="1205"/>
        <w:gridCol w:w="4719"/>
        <w:gridCol w:w="1806"/>
      </w:tblGrid>
      <w:tr>
        <w:trPr>
          <w:tblHeader/>
        </w:trPr>
        <w:tc>
          <w:tcPr>
            <w:tcW w:type="dxa" w:w="1908"/>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Rôle</w:t>
            </w:r>
          </w:p>
        </w:tc>
        <w:tc>
          <w:tcPr>
            <w:tcW w:type="dxa" w:w="1205"/>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HEX</w:t>
            </w:r>
          </w:p>
        </w:tc>
        <w:tc>
          <w:tcPr>
            <w:tcW w:type="dxa" w:w="4719"/>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Usage</w:t>
            </w:r>
          </w:p>
        </w:tc>
        <w:tc>
          <w:tcPr>
            <w:tcW w:type="dxa" w:w="1806"/>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Priorité</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Orange Soutrali</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#FE7402</w:t>
            </w:r>
          </w:p>
        </w:tc>
        <w:tc>
          <w:tcPr>
            <w:tcW w:type="dxa" w:w="47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Actions principales (avec texte sombre), accents, repères graphiques</w:t>
            </w:r>
          </w:p>
        </w:tc>
        <w:tc>
          <w:tcPr>
            <w:tcW w:type="dxa" w:w="18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Accent</w:t>
            </w:r>
          </w:p>
        </w:tc>
      </w:tr>
      <w:tr>
        <w:trPr>
          <w:cantSplit/>
        </w:trPr>
        <w:tc>
          <w:tcPr>
            <w:tcW w:type="dxa" w:w="1908"/>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Vert Soutrali</w:t>
            </w:r>
          </w:p>
        </w:tc>
        <w:tc>
          <w:tcPr>
            <w:tcW w:type="dxa" w:w="1205"/>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#037C30</w:t>
            </w:r>
          </w:p>
        </w:tc>
        <w:tc>
          <w:tcPr>
            <w:tcW w:type="dxa" w:w="4719"/>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Marque, titres, liens, boutons secondaires (texte blanc)</w:t>
            </w:r>
          </w:p>
        </w:tc>
        <w:tc>
          <w:tcPr>
            <w:tcW w:type="dxa" w:w="1806"/>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Primaire</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Vert profond</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#0B5A2A</w:t>
            </w:r>
          </w:p>
        </w:tc>
        <w:tc>
          <w:tcPr>
            <w:tcW w:type="dxa" w:w="47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Survol, états actifs, fonds sombres</w:t>
            </w:r>
          </w:p>
        </w:tc>
        <w:tc>
          <w:tcPr>
            <w:tcW w:type="dxa" w:w="18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Renfort</w:t>
            </w:r>
          </w:p>
        </w:tc>
      </w:tr>
      <w:tr>
        <w:trPr>
          <w:cantSplit/>
        </w:trPr>
        <w:tc>
          <w:tcPr>
            <w:tcW w:type="dxa" w:w="1908"/>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Orange texte</w:t>
            </w:r>
          </w:p>
        </w:tc>
        <w:tc>
          <w:tcPr>
            <w:tcW w:type="dxa" w:w="1205"/>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#B24A00</w:t>
            </w:r>
          </w:p>
        </w:tc>
        <w:tc>
          <w:tcPr>
            <w:tcW w:type="dxa" w:w="4719"/>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Orange lisible en texte ou icône sur fond clair</w:t>
            </w:r>
          </w:p>
        </w:tc>
        <w:tc>
          <w:tcPr>
            <w:tcW w:type="dxa" w:w="1806"/>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Accessibilité</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Ivoire chaud</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#FFF9F2</w:t>
            </w:r>
          </w:p>
        </w:tc>
        <w:tc>
          <w:tcPr>
            <w:tcW w:type="dxa" w:w="47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Fond de page</w:t>
            </w:r>
          </w:p>
        </w:tc>
        <w:tc>
          <w:tcPr>
            <w:tcW w:type="dxa" w:w="18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Fond</w:t>
            </w:r>
          </w:p>
        </w:tc>
      </w:tr>
      <w:tr>
        <w:trPr>
          <w:cantSplit/>
        </w:trPr>
        <w:tc>
          <w:tcPr>
            <w:tcW w:type="dxa" w:w="1908"/>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Texte principal</w:t>
            </w:r>
          </w:p>
        </w:tc>
        <w:tc>
          <w:tcPr>
            <w:tcW w:type="dxa" w:w="1205"/>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#1F2A24</w:t>
            </w:r>
          </w:p>
        </w:tc>
        <w:tc>
          <w:tcPr>
            <w:tcW w:type="dxa" w:w="4719"/>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Titres et texte courant</w:t>
            </w:r>
          </w:p>
        </w:tc>
        <w:tc>
          <w:tcPr>
            <w:tcW w:type="dxa" w:w="1806"/>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Lisibilité</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Texte secondaire</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#5A6B62</w:t>
            </w:r>
          </w:p>
        </w:tc>
        <w:tc>
          <w:tcPr>
            <w:tcW w:type="dxa" w:w="47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Aides, métadonnées</w:t>
            </w:r>
          </w:p>
        </w:tc>
        <w:tc>
          <w:tcPr>
            <w:tcW w:type="dxa" w:w="18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Secondaire</w:t>
            </w:r>
          </w:p>
        </w:tc>
      </w:tr>
      <w:tr>
        <w:trPr>
          <w:cantSplit/>
        </w:trPr>
        <w:tc>
          <w:tcPr>
            <w:tcW w:type="dxa" w:w="1908"/>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Vert pâle</w:t>
            </w:r>
          </w:p>
        </w:tc>
        <w:tc>
          <w:tcPr>
            <w:tcW w:type="dxa" w:w="1205"/>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#E8F5EC</w:t>
            </w:r>
          </w:p>
        </w:tc>
        <w:tc>
          <w:tcPr>
            <w:tcW w:type="dxa" w:w="4719"/>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Blocs informatifs, fonds doux</w:t>
            </w:r>
          </w:p>
        </w:tc>
        <w:tc>
          <w:tcPr>
            <w:tcW w:type="dxa" w:w="1806"/>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Surface</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Orange pâle</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#FFF0E0</w:t>
            </w:r>
          </w:p>
        </w:tc>
        <w:tc>
          <w:tcPr>
            <w:tcW w:type="dxa" w:w="47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Mise en évidence secondaire</w:t>
            </w:r>
          </w:p>
        </w:tc>
        <w:tc>
          <w:tcPr>
            <w:tcW w:type="dxa" w:w="18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Surface</w:t>
            </w:r>
          </w:p>
        </w:tc>
      </w:tr>
      <w:tr>
        <w:trPr>
          <w:cantSplit/>
        </w:trPr>
        <w:tc>
          <w:tcPr>
            <w:tcW w:type="dxa" w:w="1908"/>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Bordure</w:t>
            </w:r>
          </w:p>
        </w:tc>
        <w:tc>
          <w:tcPr>
            <w:tcW w:type="dxa" w:w="1205"/>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#DCE5DF</w:t>
            </w:r>
          </w:p>
        </w:tc>
        <w:tc>
          <w:tcPr>
            <w:tcW w:type="dxa" w:w="4719"/>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Contours, séparateurs</w:t>
            </w:r>
          </w:p>
        </w:tc>
        <w:tc>
          <w:tcPr>
            <w:tcW w:type="dxa" w:w="1806"/>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Structure</w:t>
            </w:r>
          </w:p>
        </w:tc>
      </w:tr>
      <w:tr>
        <w:trPr>
          <w:cantSplit/>
        </w:trPr>
        <w:tc>
          <w:tcPr>
            <w:tcW w:type="dxa" w:w="190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Blanc</w:t>
            </w:r>
          </w:p>
        </w:tc>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#FFFFFF</w:t>
            </w:r>
          </w:p>
        </w:tc>
        <w:tc>
          <w:tcPr>
            <w:tcW w:type="dxa" w:w="471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Cartes, champs, fonds inversés</w:t>
            </w:r>
          </w:p>
        </w:tc>
        <w:tc>
          <w:tcPr>
            <w:tcW w:type="dxa" w:w="18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Neutre</w:t>
            </w:r>
          </w:p>
        </w:tc>
      </w:tr>
      <w:tr>
        <w:trPr>
          <w:cantSplit/>
        </w:trPr>
        <w:tc>
          <w:tcPr>
            <w:tcW w:type="dxa" w:w="1908"/>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Danger</w:t>
            </w:r>
          </w:p>
        </w:tc>
        <w:tc>
          <w:tcPr>
            <w:tcW w:type="dxa" w:w="1205"/>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#B3261E</w:t>
            </w:r>
          </w:p>
        </w:tc>
        <w:tc>
          <w:tcPr>
            <w:tcW w:type="dxa" w:w="4719"/>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Erreurs, actions destructives (toujours avec libellé)</w:t>
            </w:r>
          </w:p>
        </w:tc>
        <w:tc>
          <w:tcPr>
            <w:tcW w:type="dxa" w:w="1806"/>
            <w:tcBorders>
              <w:top w:val="single" w:color="DCE5DF" w:sz="4"/>
              <w:left w:val="single" w:color="DCE5DF" w:sz="4"/>
              <w:bottom w:val="single" w:color="DCE5DF" w:sz="4"/>
              <w:right w:val="single" w:color="DCE5DF" w:sz="4"/>
            </w:tcBorders>
            <w:shd w:fill="F8FBF9" w:val="clear"/>
            <w:tcMar>
              <w:top w:type="dxa" w:w="70"/>
              <w:left w:type="dxa" w:w="100"/>
              <w:bottom w:type="dxa" w:w="70"/>
              <w:right w:type="dxa" w:w="100"/>
            </w:tcMar>
          </w:tcPr>
          <w:p>
            <w:pPr>
              <w:spacing w:after="20" w:line="260"/>
            </w:pPr>
            <w:r>
              <w:rPr>
                <w:rFonts w:ascii="Arial" w:cs="Arial" w:eastAsia="Arial" w:hAnsi="Arial"/>
                <w:color w:val="1F2A24"/>
                <w:sz w:val="19"/>
                <w:szCs w:val="19"/>
              </w:rPr>
              <w:t xml:space="preserve">État</w:t>
            </w:r>
          </w:p>
        </w:tc>
      </w:tr>
    </w:tbl>
    <w:p>
      <w:pPr>
        <w:pStyle w:val="Heading2"/>
        <w:spacing w:after="100" w:before="240"/>
      </w:pPr>
      <w:r>
        <w:rPr>
          <w:rFonts w:ascii="Arial" w:cs="Arial" w:eastAsia="Arial" w:hAnsi="Arial"/>
          <w:b/>
          <w:bCs/>
          <w:color w:val="037C30"/>
          <w:sz w:val="25"/>
          <w:szCs w:val="25"/>
        </w:rPr>
        <w:t xml:space="preserve">3.1 Combinaisons validées par calcul de contraste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2610"/>
        <w:gridCol w:w="1506"/>
        <w:gridCol w:w="2510"/>
      </w:tblGrid>
      <w:tr>
        <w:trPr>
          <w:tblHeader/>
        </w:trPr>
        <w:tc>
          <w:tcPr>
            <w:tcW w:type="dxa" w:w="3012"/>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Texte / élément</w:t>
            </w:r>
          </w:p>
        </w:tc>
        <w:tc>
          <w:tcPr>
            <w:tcW w:type="dxa" w:w="2610"/>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Fond</w:t>
            </w:r>
          </w:p>
        </w:tc>
        <w:tc>
          <w:tcPr>
            <w:tcW w:type="dxa" w:w="1506"/>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Ratio</w:t>
            </w:r>
          </w:p>
        </w:tc>
        <w:tc>
          <w:tcPr>
            <w:tcW w:type="dxa" w:w="2510"/>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Verdict</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Texte #1F2A24</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Ivoire #FFF9F2</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14,2 : 1</w:t>
            </w:r>
          </w:p>
        </w:tc>
        <w:tc>
          <w:tcPr>
            <w:tcW w:type="dxa" w:w="25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OK tout usage</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Texte secondaire #5A6B62</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Ivoire #FFF9F2</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5,4 : 1</w:t>
            </w:r>
          </w:p>
        </w:tc>
        <w:tc>
          <w:tcPr>
            <w:tcW w:type="dxa" w:w="25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OK texte courant (AA)</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Blanc</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Vert #037C30</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5,3 : 1</w:t>
            </w:r>
          </w:p>
        </w:tc>
        <w:tc>
          <w:tcPr>
            <w:tcW w:type="dxa" w:w="25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OK texte courant (AA)</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Blanc</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Vert profond #0B5A2A</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8,4 : 1</w:t>
            </w:r>
          </w:p>
        </w:tc>
        <w:tc>
          <w:tcPr>
            <w:tcW w:type="dxa" w:w="25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OK (AAA)</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Texte #1F2A24</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Orange #FE7402</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5,5 : 1</w:t>
            </w:r>
          </w:p>
        </w:tc>
        <w:tc>
          <w:tcPr>
            <w:tcW w:type="dxa" w:w="25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OK : </w:t>
            </w:r>
            <w:r>
              <w:rPr>
                <w:rFonts w:ascii="Arial" w:cs="Arial" w:eastAsia="Arial" w:hAnsi="Arial"/>
                <w:b/>
                <w:bCs/>
                <w:color w:val="1F2A24"/>
                <w:sz w:val="19"/>
                <w:szCs w:val="19"/>
              </w:rPr>
              <w:t xml:space="preserve">texte sombre sur boutons orange</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Orange texte #B24A00</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Ivoire #FFF9F2</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5,2 : 1</w:t>
            </w:r>
          </w:p>
        </w:tc>
        <w:tc>
          <w:tcPr>
            <w:tcW w:type="dxa" w:w="25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OK texte courant (AA)</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Vert #037C30</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Ivoire #FFF9F2</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5,1 : 1</w:t>
            </w:r>
          </w:p>
        </w:tc>
        <w:tc>
          <w:tcPr>
            <w:tcW w:type="dxa" w:w="25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OK (liens, titres)</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Blanc</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Danger #B3261E</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6,5 : 1</w:t>
            </w:r>
          </w:p>
        </w:tc>
        <w:tc>
          <w:tcPr>
            <w:tcW w:type="dxa" w:w="25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OK</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Orange #FE7402</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Vert profond #0B5A2A</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3,1 : 1</w:t>
            </w:r>
          </w:p>
        </w:tc>
        <w:tc>
          <w:tcPr>
            <w:tcW w:type="dxa" w:w="25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Grands éléments graphiques seulement (≥ 3 : 1)</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Blanc</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Orange #FE7402</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2,7 : 1</w:t>
            </w:r>
          </w:p>
        </w:tc>
        <w:tc>
          <w:tcPr>
            <w:tcW w:type="dxa" w:w="25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Interdit</w:t>
            </w:r>
            <w:r>
              <w:rPr>
                <w:rFonts w:ascii="Arial" w:cs="Arial" w:eastAsia="Arial" w:hAnsi="Arial"/>
                <w:color w:val="1F2A24"/>
                <w:sz w:val="19"/>
                <w:szCs w:val="19"/>
              </w:rPr>
              <w:t xml:space="preserve"> pour le texte</w:t>
            </w:r>
          </w:p>
        </w:tc>
      </w:tr>
      <w:tr>
        <w:trPr>
          <w:cantSplit/>
        </w:trPr>
        <w:tc>
          <w:tcPr>
            <w:tcW w:type="dxa" w:w="3012"/>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Orange #FE7402</w:t>
            </w:r>
          </w:p>
        </w:tc>
        <w:tc>
          <w:tcPr>
            <w:tcW w:type="dxa" w:w="26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Blanc ou ivoire</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2,6 à 2,7 : 1</w:t>
            </w:r>
          </w:p>
        </w:tc>
        <w:tc>
          <w:tcPr>
            <w:tcW w:type="dxa" w:w="2510"/>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b/>
                <w:bCs/>
                <w:color w:val="1F2A24"/>
                <w:sz w:val="19"/>
                <w:szCs w:val="19"/>
              </w:rPr>
              <w:t xml:space="preserve">Interdit</w:t>
            </w:r>
            <w:r>
              <w:rPr>
                <w:rFonts w:ascii="Arial" w:cs="Arial" w:eastAsia="Arial" w:hAnsi="Arial"/>
                <w:color w:val="1F2A24"/>
                <w:sz w:val="19"/>
                <w:szCs w:val="19"/>
              </w:rPr>
              <w:t xml:space="preserve"> pour le texte ; graphique de grande taille seulement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037C30" w:sz="24"/>
              <w:bottom w:val="none"/>
              <w:right w:val="none"/>
            </w:tcBorders>
            <w:shd w:fill="E8F5EC" w:val="clear"/>
            <w:tcMar>
              <w:top w:type="dxa" w:w="100"/>
              <w:left w:type="dxa" w:w="160"/>
              <w:bottom w:type="dxa" w:w="100"/>
              <w:right w:type="dxa" w:w="160"/>
            </w:tcMar>
          </w:tcPr>
          <w:p>
            <w:pPr>
              <w:spacing w:after="0" w:line="290"/>
            </w:pPr>
            <w:r>
              <w:rPr>
                <w:rFonts w:ascii="Arial" w:cs="Arial" w:eastAsia="Arial" w:hAnsi="Arial"/>
                <w:b/>
                <w:bCs/>
                <w:color w:val="1F2A24"/>
                <w:sz w:val="21"/>
                <w:szCs w:val="21"/>
              </w:rPr>
              <w:t xml:space="preserve">Pourquoi ces choix.</w:t>
            </w:r>
            <w:r>
              <w:rPr>
                <w:rFonts w:ascii="Arial" w:cs="Arial" w:eastAsia="Arial" w:hAnsi="Arial"/>
                <w:color w:val="1F2A24"/>
                <w:sz w:val="21"/>
                <w:szCs w:val="21"/>
              </w:rPr>
              <w:t xml:space="preserve"> L’orange pur du logo ne passe pas le contraste en texte sur fond clair, et le blanc dessus échoue aussi. La règle est donc : orange = surface d’action avec texte sombre ; vert = texte et titres ; « orange texte » plus foncé pour les mots à accentuer. Aucune information n’est portée par la couleur seule : ajouter un libellé ou une icône.</w:t>
            </w:r>
          </w:p>
        </w:tc>
      </w:tr>
    </w:tbl>
    <w:p>
      <w:pPr>
        <w:pStyle w:val="Heading1"/>
        <w:pBdr>
          <w:bottom w:val="single" w:color="FE7402" w:sz="8" w:space="4"/>
        </w:pBdr>
        <w:spacing w:after="140" w:before="360"/>
      </w:pPr>
      <w:r>
        <w:rPr>
          <w:rFonts w:ascii="Arial" w:cs="Arial" w:eastAsia="Arial" w:hAnsi="Arial"/>
          <w:b/>
          <w:bCs/>
          <w:color w:val="0B5A2A"/>
          <w:sz w:val="32"/>
          <w:szCs w:val="32"/>
        </w:rPr>
        <w:t xml:space="preserve">4. Typographie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2811"/>
        <w:gridCol w:w="4618"/>
      </w:tblGrid>
      <w:tr>
        <w:trPr>
          <w:tblHeader/>
        </w:trPr>
        <w:tc>
          <w:tcPr>
            <w:tcW w:type="dxa" w:w="2209"/>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Rôle</w:t>
            </w:r>
          </w:p>
        </w:tc>
        <w:tc>
          <w:tcPr>
            <w:tcW w:type="dxa" w:w="2811"/>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Famille</w:t>
            </w:r>
          </w:p>
        </w:tc>
        <w:tc>
          <w:tcPr>
            <w:tcW w:type="dxa" w:w="4618"/>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Détail</w:t>
            </w:r>
          </w:p>
        </w:tc>
      </w:tr>
      <w:tr>
        <w:trPr>
          <w:cantSplit/>
        </w:trPr>
        <w:tc>
          <w:tcPr>
            <w:tcW w:type="dxa" w:w="22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Titres et marque</w:t>
            </w:r>
          </w:p>
        </w:tc>
        <w:tc>
          <w:tcPr>
            <w:tcW w:type="dxa" w:w="281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Manrope</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Poids 600 à 750, titres courts</w:t>
            </w:r>
          </w:p>
        </w:tc>
      </w:tr>
      <w:tr>
        <w:trPr>
          <w:cantSplit/>
        </w:trPr>
        <w:tc>
          <w:tcPr>
            <w:tcW w:type="dxa" w:w="22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Texte et interface</w:t>
            </w:r>
          </w:p>
        </w:tc>
        <w:tc>
          <w:tcPr>
            <w:tcW w:type="dxa" w:w="281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Source Sans 3</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Poids 400 à 600</w:t>
            </w:r>
          </w:p>
        </w:tc>
      </w:tr>
      <w:tr>
        <w:trPr>
          <w:cantSplit/>
        </w:trPr>
        <w:tc>
          <w:tcPr>
            <w:tcW w:type="dxa" w:w="22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Repli</w:t>
            </w:r>
          </w:p>
        </w:tc>
        <w:tc>
          <w:tcPr>
            <w:tcW w:type="dxa" w:w="2811"/>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Arial, Helvetica, sans-serif</w:t>
            </w:r>
          </w:p>
        </w:tc>
        <w:tc>
          <w:tcPr>
            <w:tcW w:type="dxa" w:w="4618"/>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Obligatoire dans la pile ; deux familles maximum par écran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6"/>
        <w:gridCol w:w="1506"/>
        <w:gridCol w:w="3313"/>
        <w:gridCol w:w="3313"/>
      </w:tblGrid>
      <w:tr>
        <w:trPr>
          <w:tblHeader/>
        </w:trPr>
        <w:tc>
          <w:tcPr>
            <w:tcW w:type="dxa" w:w="1506"/>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Style</w:t>
            </w:r>
          </w:p>
        </w:tc>
        <w:tc>
          <w:tcPr>
            <w:tcW w:type="dxa" w:w="1506"/>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Taille</w:t>
            </w:r>
          </w:p>
        </w:tc>
        <w:tc>
          <w:tcPr>
            <w:tcW w:type="dxa" w:w="3313"/>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Graisse / interligne</w:t>
            </w:r>
          </w:p>
        </w:tc>
        <w:tc>
          <w:tcPr>
            <w:tcW w:type="dxa" w:w="3313"/>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Usage</w:t>
            </w:r>
          </w:p>
        </w:tc>
      </w:tr>
      <w:tr>
        <w:trPr>
          <w:cantSplit/>
        </w:trPr>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Display</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40–48 px</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Manrope 700 / 1,1</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Héros, une fois par page</w:t>
            </w:r>
          </w:p>
        </w:tc>
      </w:tr>
      <w:tr>
        <w:trPr>
          <w:cantSplit/>
        </w:trPr>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H1</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32 px</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Manrope 700 / 1,2</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Titre principal</w:t>
            </w:r>
          </w:p>
        </w:tc>
      </w:tr>
      <w:tr>
        <w:trPr>
          <w:cantSplit/>
        </w:trPr>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H2</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24 px</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Manrope 700 / 1,25</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Sections</w:t>
            </w:r>
          </w:p>
        </w:tc>
      </w:tr>
      <w:tr>
        <w:trPr>
          <w:cantSplit/>
        </w:trPr>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H3</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20 px</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Manrope 650 / 1,3</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Sous-sections</w:t>
            </w:r>
          </w:p>
        </w:tc>
      </w:tr>
      <w:tr>
        <w:trPr>
          <w:cantSplit/>
        </w:trPr>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H4</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16–18 px</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Manrope 650 / 1,35</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Cartes, panneaux</w:t>
            </w:r>
          </w:p>
        </w:tc>
      </w:tr>
      <w:tr>
        <w:trPr>
          <w:cantSplit/>
        </w:trPr>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Corps</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16 px</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Source Sans 3 400 / 1,55</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Lecture</w:t>
            </w:r>
          </w:p>
        </w:tc>
      </w:tr>
      <w:tr>
        <w:trPr>
          <w:cantSplit/>
        </w:trPr>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Compact</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14 px</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Source Sans 3 400 / 1,45</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Métadonnées</w:t>
            </w:r>
          </w:p>
        </w:tc>
      </w:tr>
      <w:tr>
        <w:trPr>
          <w:cantSplit/>
        </w:trPr>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Label</w:t>
            </w:r>
          </w:p>
        </w:tc>
        <w:tc>
          <w:tcPr>
            <w:tcW w:type="dxa" w:w="15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12–14 px</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Source Sans 3 600 / 1,3</w:t>
            </w:r>
          </w:p>
        </w:tc>
        <w:tc>
          <w:tcPr>
            <w:tcW w:type="dxa" w:w="3313"/>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Formulaires, badges</w:t>
            </w:r>
          </w:p>
        </w:tc>
      </w:tr>
    </w:tbl>
    <w:p>
      <w:pPr>
        <w:spacing w:after="110" w:line="300"/>
      </w:pPr>
      <w:r>
        <w:rPr>
          <w:rFonts w:ascii="Arial" w:cs="Arial" w:eastAsia="Arial" w:hAnsi="Arial"/>
          <w:color w:val="1F2A24"/>
          <w:sz w:val="21"/>
          <w:szCs w:val="21"/>
        </w:rPr>
        <w:t xml:space="preserve">Les fichiers de polices doivent être hébergés localement (dossier /brand/fonts) pour éviter une dépendance réseau et accélérer le chargement sur connexion variable. </w:t>
      </w:r>
      <w:r>
        <w:rPr>
          <w:rFonts w:ascii="Arial" w:cs="Arial" w:eastAsia="Arial" w:hAnsi="Arial"/>
          <w:b/>
          <w:bCs/>
          <w:color w:val="1F2A24"/>
          <w:sz w:val="21"/>
          <w:szCs w:val="21"/>
        </w:rPr>
        <w:t xml:space="preserve">À faire</w:t>
      </w:r>
      <w:r>
        <w:rPr>
          <w:rFonts w:ascii="Arial" w:cs="Arial" w:eastAsia="Arial" w:hAnsi="Arial"/>
          <w:color w:val="1F2A24"/>
          <w:sz w:val="21"/>
          <w:szCs w:val="21"/>
        </w:rPr>
        <w:t xml:space="preserve"> : récupérer les fichiers sous licence ouverte depuis la source officielle des polices et vérifier leur licence ; ils n’ont pas pu être inclus à ce stade.</w:t>
      </w:r>
    </w:p>
    <w:p>
      <w:pPr>
        <w:pStyle w:val="Heading1"/>
        <w:pBdr>
          <w:bottom w:val="single" w:color="FE7402" w:sz="8" w:space="4"/>
        </w:pBdr>
        <w:spacing w:after="140" w:before="360"/>
      </w:pPr>
      <w:r>
        <w:rPr>
          <w:rFonts w:ascii="Arial" w:cs="Arial" w:eastAsia="Arial" w:hAnsi="Arial"/>
          <w:b/>
          <w:bCs/>
          <w:color w:val="0B5A2A"/>
          <w:sz w:val="32"/>
          <w:szCs w:val="32"/>
        </w:rPr>
        <w:t xml:space="preserve">5. Système visuel et composants</w:t>
      </w:r>
    </w:p>
    <w:p>
      <w:pPr>
        <w:pStyle w:val="ListParagraph"/>
        <w:numPr>
          <w:ilvl w:val="0"/>
          <w:numId w:val="2"/>
        </w:numPr>
        <w:spacing w:after="70" w:line="290"/>
      </w:pPr>
      <w:r>
        <w:rPr>
          <w:rFonts w:ascii="Arial" w:cs="Arial" w:eastAsia="Arial" w:hAnsi="Arial"/>
          <w:color w:val="1F2A24"/>
          <w:sz w:val="21"/>
          <w:szCs w:val="21"/>
        </w:rPr>
        <w:t xml:space="preserve">Formes : coins arrondis 8 à 16 px, surfaces nettes, espaces généreux ; éviter l’empilement de cartes identiques.</w:t>
      </w:r>
    </w:p>
    <w:p>
      <w:pPr>
        <w:pStyle w:val="ListParagraph"/>
        <w:numPr>
          <w:ilvl w:val="0"/>
          <w:numId w:val="2"/>
        </w:numPr>
        <w:spacing w:after="70" w:line="290"/>
      </w:pPr>
      <w:r>
        <w:rPr>
          <w:rFonts w:ascii="Arial" w:cs="Arial" w:eastAsia="Arial" w:hAnsi="Arial"/>
          <w:color w:val="1F2A24"/>
          <w:sz w:val="21"/>
          <w:szCs w:val="21"/>
        </w:rPr>
        <w:t xml:space="preserve">Icônes : style linéaire, extrémités arrondies, trait de 1,75 à 2 px, une seule bibliothèque, icônes clés personnalisées.</w:t>
      </w:r>
    </w:p>
    <w:p>
      <w:pPr>
        <w:pStyle w:val="ListParagraph"/>
        <w:numPr>
          <w:ilvl w:val="0"/>
          <w:numId w:val="2"/>
        </w:numPr>
        <w:spacing w:after="70" w:line="290"/>
      </w:pPr>
      <w:r>
        <w:rPr>
          <w:rFonts w:ascii="Arial" w:cs="Arial" w:eastAsia="Arial" w:hAnsi="Arial"/>
          <w:color w:val="1F2A24"/>
          <w:sz w:val="21"/>
          <w:szCs w:val="21"/>
        </w:rPr>
        <w:t xml:space="preserve">Illustrations et photos : scènes humaines crédibles du quotidien ivoirien, lumière naturelle, personnes en interaction ; pas de banque d’images trop corporate.</w:t>
      </w:r>
    </w:p>
    <w:p>
      <w:pPr>
        <w:pStyle w:val="ListParagraph"/>
        <w:numPr>
          <w:ilvl w:val="0"/>
          <w:numId w:val="2"/>
        </w:numPr>
        <w:spacing w:after="70" w:line="290"/>
      </w:pPr>
      <w:r>
        <w:rPr>
          <w:rFonts w:ascii="Arial" w:cs="Arial" w:eastAsia="Arial" w:hAnsi="Arial"/>
          <w:color w:val="1F2A24"/>
          <w:sz w:val="21"/>
          <w:szCs w:val="21"/>
        </w:rPr>
        <w:t xml:space="preserve">Motifs : courbes inspirées du geste d’entraide (les mains du symbole), faible contraste, en arrière-plan uniquement.</w:t>
      </w:r>
    </w:p>
    <w:p>
      <w:pPr>
        <w:pStyle w:val="ListParagraph"/>
        <w:numPr>
          <w:ilvl w:val="0"/>
          <w:numId w:val="2"/>
        </w:numPr>
        <w:spacing w:after="70" w:line="290"/>
      </w:pPr>
      <w:r>
        <w:rPr>
          <w:rFonts w:ascii="Arial" w:cs="Arial" w:eastAsia="Arial" w:hAnsi="Arial"/>
          <w:color w:val="1F2A24"/>
          <w:sz w:val="21"/>
          <w:szCs w:val="21"/>
        </w:rPr>
        <w:t xml:space="preserve">Ombres rares et douces ; hiérarchie par bordures, contraste et espacement.</w:t>
      </w:r>
    </w:p>
    <w:p>
      <w:pPr>
        <w:pStyle w:val="ListParagraph"/>
        <w:numPr>
          <w:ilvl w:val="0"/>
          <w:numId w:val="2"/>
        </w:numPr>
        <w:spacing w:after="70" w:line="290"/>
      </w:pPr>
      <w:r>
        <w:rPr>
          <w:rFonts w:ascii="Arial" w:cs="Arial" w:eastAsia="Arial" w:hAnsi="Arial"/>
          <w:color w:val="1F2A24"/>
          <w:sz w:val="21"/>
          <w:szCs w:val="21"/>
        </w:rPr>
        <w:t xml:space="preserve">Grille de 4 px ; échelle 4 / 8 / 12 / 16 / 24 / 32 / 48 / 64.</w:t>
      </w:r>
    </w:p>
    <w:p>
      <w:pPr>
        <w:pStyle w:val="ListParagraph"/>
        <w:numPr>
          <w:ilvl w:val="0"/>
          <w:numId w:val="2"/>
        </w:numPr>
        <w:spacing w:after="70" w:line="290"/>
      </w:pPr>
      <w:r>
        <w:rPr>
          <w:rFonts w:ascii="Arial" w:cs="Arial" w:eastAsia="Arial" w:hAnsi="Arial"/>
          <w:color w:val="1F2A24"/>
          <w:sz w:val="21"/>
          <w:szCs w:val="21"/>
        </w:rPr>
        <w:t xml:space="preserve">Limiter dégradés, glassmorphism, ombres prononcées et animations décoratives.</w:t>
      </w:r>
    </w:p>
    <w:p>
      <w:pPr>
        <w:pStyle w:val="ListParagraph"/>
        <w:numPr>
          <w:ilvl w:val="0"/>
          <w:numId w:val="2"/>
        </w:numPr>
        <w:spacing w:after="70" w:line="290"/>
      </w:pPr>
      <w:r>
        <w:rPr>
          <w:rFonts w:ascii="Arial" w:cs="Arial" w:eastAsia="Arial" w:hAnsi="Arial"/>
          <w:color w:val="1F2A24"/>
          <w:sz w:val="21"/>
          <w:szCs w:val="21"/>
        </w:rPr>
        <w:t xml:space="preserve">Composants métier propres à Soutrali : demande d’aide, proposition de service, étiquette de nature (Bénévole / Rémunéré, avec libellé), sélecteur de commune, mention « déclaré / vérifié », disponibilité, mise en relation.</w:t>
      </w:r>
    </w:p>
    <w:p>
      <w:pPr>
        <w:pStyle w:val="ListParagraph"/>
        <w:numPr>
          <w:ilvl w:val="0"/>
          <w:numId w:val="2"/>
        </w:numPr>
        <w:spacing w:after="70" w:line="290"/>
      </w:pPr>
      <w:r>
        <w:rPr>
          <w:rFonts w:ascii="Arial" w:cs="Arial" w:eastAsia="Arial" w:hAnsi="Arial"/>
          <w:color w:val="1F2A24"/>
          <w:sz w:val="21"/>
          <w:szCs w:val="21"/>
        </w:rPr>
        <w:t xml:space="preserve">Textes d’interface concrets et chaleureux : « Trouver un coup de main » plutôt que « Découvrez nos solutions innovantes ». Pas de faux témoignages ni de statistiques inventées.</w:t>
      </w:r>
    </w:p>
    <w:p>
      <w:pPr>
        <w:pStyle w:val="Heading1"/>
        <w:pBdr>
          <w:bottom w:val="single" w:color="FE7402" w:sz="8" w:space="4"/>
        </w:pBdr>
        <w:spacing w:after="140" w:before="360"/>
      </w:pPr>
      <w:r>
        <w:rPr>
          <w:rFonts w:ascii="Arial" w:cs="Arial" w:eastAsia="Arial" w:hAnsi="Arial"/>
          <w:b/>
          <w:bCs/>
          <w:color w:val="0B5A2A"/>
          <w:sz w:val="32"/>
          <w:szCs w:val="32"/>
        </w:rPr>
        <w:t xml:space="preserve">6. Fichiers livrés (dossier /brand)</w:t>
      </w:r>
    </w:p>
    <w:p>
      <w:pPr>
        <w:spacing w:after="110" w:line="300"/>
      </w:pPr>
      <w:r>
        <w:rPr>
          <w:rFonts w:ascii="Arial" w:cs="Arial" w:eastAsia="Arial" w:hAnsi="Arial"/>
          <w:color w:val="1F2A24"/>
          <w:sz w:val="21"/>
          <w:szCs w:val="21"/>
        </w:rPr>
        <w:t xml:space="preserve">Le logo a été vectorisé à partir du PNG fourni (tracé par couches de couleur, reproductible avec le script vectorize.py). </w:t>
      </w:r>
      <w:r>
        <w:rPr>
          <w:rFonts w:ascii="Arial" w:cs="Arial" w:eastAsia="Arial" w:hAnsi="Arial"/>
          <w:b/>
          <w:bCs/>
          <w:color w:val="1F2A24"/>
          <w:sz w:val="21"/>
          <w:szCs w:val="21"/>
        </w:rPr>
        <w:t xml:space="preserve">Réserve :</w:t>
      </w:r>
      <w:r>
        <w:rPr>
          <w:rFonts w:ascii="Arial" w:cs="Arial" w:eastAsia="Arial" w:hAnsi="Arial"/>
          <w:color w:val="1F2A24"/>
          <w:sz w:val="21"/>
          <w:szCs w:val="21"/>
        </w:rPr>
        <w:t xml:space="preserve"> il s’agit d’un tracé fidèle du modèle de départ, non d’un dessin d’origine ; si le logo est retravaillé par un graphiste, ces fichiers seront régénérés.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17"/>
        <w:gridCol w:w="1707"/>
        <w:gridCol w:w="2309"/>
        <w:gridCol w:w="1405"/>
      </w:tblGrid>
      <w:tr>
        <w:trPr>
          <w:tblHeader/>
        </w:trPr>
        <w:tc>
          <w:tcPr>
            <w:tcW w:type="dxa" w:w="4217"/>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Fichier</w:t>
            </w:r>
          </w:p>
        </w:tc>
        <w:tc>
          <w:tcPr>
            <w:tcW w:type="dxa" w:w="1707"/>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Dimensions</w:t>
            </w:r>
          </w:p>
        </w:tc>
        <w:tc>
          <w:tcPr>
            <w:tcW w:type="dxa" w:w="2309"/>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Format</w:t>
            </w:r>
          </w:p>
        </w:tc>
        <w:tc>
          <w:tcPr>
            <w:tcW w:type="dxa" w:w="1405"/>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Statut</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soutrali-logo-*.svg (13 variantes)</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Vectoriel</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SVG</w:t>
            </w:r>
          </w:p>
        </w:tc>
        <w:tc>
          <w:tcPr>
            <w:tcW w:type="dxa" w:w="14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Livré</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soutrali-logo-vertical / horizontal-transparent-v1.png, symbol-transparent-v1.png</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1600 px de large</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PNG transparent</w:t>
            </w:r>
          </w:p>
        </w:tc>
        <w:tc>
          <w:tcPr>
            <w:tcW w:type="dxa" w:w="14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Livré</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soutrali-logo-vertical / horizontal-print-v1.pdf</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Vectoriel</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PDF</w:t>
            </w:r>
          </w:p>
        </w:tc>
        <w:tc>
          <w:tcPr>
            <w:tcW w:type="dxa" w:w="14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Livré</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favicon.ico</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16, 32, 48 px</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ICO multi-résolution</w:t>
            </w:r>
          </w:p>
        </w:tc>
        <w:tc>
          <w:tcPr>
            <w:tcW w:type="dxa" w:w="14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Livré</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favicon-32.png ; favicon.svg</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32 px ; vectoriel</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PNG ; SVG</w:t>
            </w:r>
          </w:p>
        </w:tc>
        <w:tc>
          <w:tcPr>
            <w:tcW w:type="dxa" w:w="14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Livré</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apple-touch-icon.png</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180×180</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PNG opaque, fond ivoire</w:t>
            </w:r>
          </w:p>
        </w:tc>
        <w:tc>
          <w:tcPr>
            <w:tcW w:type="dxa" w:w="14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Livré</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icon-192.png ; icon-512.png</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192 ; 512</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PNG</w:t>
            </w:r>
          </w:p>
        </w:tc>
        <w:tc>
          <w:tcPr>
            <w:tcW w:type="dxa" w:w="14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Livré</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icon-512-maskable.png</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512×512</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PNG, zone de sécurité élargie</w:t>
            </w:r>
          </w:p>
        </w:tc>
        <w:tc>
          <w:tcPr>
            <w:tcW w:type="dxa" w:w="14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Livré</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soutrali-tokens.css</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CSS</w:t>
            </w:r>
          </w:p>
        </w:tc>
        <w:tc>
          <w:tcPr>
            <w:tcW w:type="dxa" w:w="14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Livré</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Fichiers de polices</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WOFF2</w:t>
            </w:r>
          </w:p>
        </w:tc>
        <w:tc>
          <w:tcPr>
            <w:tcW w:type="dxa" w:w="14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À faire</w:t>
            </w:r>
          </w:p>
        </w:tc>
      </w:tr>
      <w:tr>
        <w:trPr>
          <w:cantSplit/>
        </w:trPr>
        <w:tc>
          <w:tcPr>
            <w:tcW w:type="dxa" w:w="421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Validation du rendu sur appareils réels (favicon, icône mobile, impression)</w:t>
            </w:r>
          </w:p>
        </w:tc>
        <w:tc>
          <w:tcPr>
            <w:tcW w:type="dxa" w:w="170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w:t>
            </w:r>
          </w:p>
        </w:tc>
        <w:tc>
          <w:tcPr>
            <w:tcW w:type="dxa" w:w="2309"/>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w:t>
            </w:r>
          </w:p>
        </w:tc>
        <w:tc>
          <w:tcPr>
            <w:tcW w:type="dxa" w:w="14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À faire</w:t>
            </w:r>
          </w:p>
        </w:tc>
      </w:tr>
    </w:tbl>
    <w:p>
      <w:pPr>
        <w:spacing w:after="110" w:line="300"/>
      </w:pPr>
      <w:r>
        <w:rPr>
          <w:rFonts w:ascii="Arial" w:cs="Arial" w:eastAsia="Arial" w:hAnsi="Arial"/>
          <w:color w:val="1F2A24"/>
          <w:sz w:val="21"/>
          <w:szCs w:val="21"/>
        </w:rPr>
        <w:t xml:space="preserve">Les icônes utilisent le symbole sur fond ivoire avec une marge interne d’environ 12 % (16 % pour iOS). À 16 px, le détail des doigts disparaît mais la silhouette en « S » bicolore reste reconnaissable ; à vérifier sur écran réel.</w:t>
      </w:r>
    </w:p>
    <w:p>
      <w:pPr>
        <w:pStyle w:val="Heading1"/>
        <w:pBdr>
          <w:bottom w:val="single" w:color="FE7402" w:sz="8" w:space="4"/>
        </w:pBdr>
        <w:spacing w:after="140" w:before="360"/>
      </w:pPr>
      <w:r>
        <w:rPr>
          <w:rFonts w:ascii="Arial" w:cs="Arial" w:eastAsia="Arial" w:hAnsi="Arial"/>
          <w:b/>
          <w:bCs/>
          <w:color w:val="0B5A2A"/>
          <w:sz w:val="32"/>
          <w:szCs w:val="32"/>
        </w:rPr>
        <w:t xml:space="preserve">7. Tokens de design</w:t>
      </w:r>
    </w:p>
    <w:p>
      <w:pPr>
        <w:spacing w:after="110" w:line="300"/>
      </w:pPr>
      <w:r>
        <w:rPr>
          <w:rFonts w:ascii="Arial" w:cs="Arial" w:eastAsia="Arial" w:hAnsi="Arial"/>
          <w:color w:val="1F2A24"/>
          <w:sz w:val="21"/>
          <w:szCs w:val="21"/>
        </w:rPr>
        <w:t xml:space="preserve">Fichier de référence : soutrali-tokens.css. Les valeurs sont centralisées et ne sont jamais redéfinies localement dans un composant.</w:t>
      </w:r>
    </w:p>
    <w:p>
      <w:pPr>
        <w:shd w:fill="F3F6F4" w:val="clear"/>
        <w:spacing w:after="0" w:line="240"/>
        <w:ind w:left="120"/>
      </w:pPr>
      <w:r>
        <w:rPr>
          <w:rFonts w:ascii="Consolas" w:cs="Consolas" w:eastAsia="Consolas" w:hAnsi="Consolas"/>
          <w:color w:val="1F2A24"/>
          <w:sz w:val="17"/>
          <w:szCs w:val="17"/>
        </w:rPr>
        <w:t xml:space="preserve">:root {</w:t>
      </w:r>
    </w:p>
    <w:p>
      <w:pPr>
        <w:shd w:fill="F3F6F4" w:val="clear"/>
        <w:spacing w:after="0" w:line="240"/>
        <w:ind w:left="120"/>
      </w:pPr>
      <w:r>
        <w:rPr>
          <w:rFonts w:ascii="Consolas" w:cs="Consolas" w:eastAsia="Consolas" w:hAnsi="Consolas"/>
          <w:color w:val="1F2A24"/>
          <w:sz w:val="17"/>
          <w:szCs w:val="17"/>
        </w:rPr>
        <w:t xml:space="preserve">  --color-brand-orange: #FE7402;   --color-brand-green: #037C30;</w:t>
      </w:r>
    </w:p>
    <w:p>
      <w:pPr>
        <w:shd w:fill="F3F6F4" w:val="clear"/>
        <w:spacing w:after="0" w:line="240"/>
        <w:ind w:left="120"/>
      </w:pPr>
      <w:r>
        <w:rPr>
          <w:rFonts w:ascii="Consolas" w:cs="Consolas" w:eastAsia="Consolas" w:hAnsi="Consolas"/>
          <w:color w:val="1F2A24"/>
          <w:sz w:val="17"/>
          <w:szCs w:val="17"/>
        </w:rPr>
        <w:t xml:space="preserve">  --color-brand-green-deep: #0B5A2A;</w:t>
      </w:r>
    </w:p>
    <w:p>
      <w:pPr>
        <w:shd w:fill="F3F6F4" w:val="clear"/>
        <w:spacing w:after="0" w:line="240"/>
        <w:ind w:left="120"/>
      </w:pPr>
      <w:r>
        <w:rPr>
          <w:rFonts w:ascii="Consolas" w:cs="Consolas" w:eastAsia="Consolas" w:hAnsi="Consolas"/>
          <w:color w:val="1F2A24"/>
          <w:sz w:val="17"/>
          <w:szCs w:val="17"/>
        </w:rPr>
        <w:t xml:space="preserve">  --color-text: #1F2A24;           --color-text-muted: #5A6B62;</w:t>
      </w:r>
    </w:p>
    <w:p>
      <w:pPr>
        <w:shd w:fill="F3F6F4" w:val="clear"/>
        <w:spacing w:after="0" w:line="240"/>
        <w:ind w:left="120"/>
      </w:pPr>
      <w:r>
        <w:rPr>
          <w:rFonts w:ascii="Consolas" w:cs="Consolas" w:eastAsia="Consolas" w:hAnsi="Consolas"/>
          <w:color w:val="1F2A24"/>
          <w:sz w:val="17"/>
          <w:szCs w:val="17"/>
        </w:rPr>
        <w:t xml:space="preserve">  --color-text-orange: #B24A00;    --color-on-orange: #1F2A24;</w:t>
      </w:r>
    </w:p>
    <w:p>
      <w:pPr>
        <w:shd w:fill="F3F6F4" w:val="clear"/>
        <w:spacing w:after="0" w:line="240"/>
        <w:ind w:left="120"/>
      </w:pPr>
      <w:r>
        <w:rPr>
          <w:rFonts w:ascii="Consolas" w:cs="Consolas" w:eastAsia="Consolas" w:hAnsi="Consolas"/>
          <w:color w:val="1F2A24"/>
          <w:sz w:val="17"/>
          <w:szCs w:val="17"/>
        </w:rPr>
        <w:t xml:space="preserve">  --color-bg: #FFF9F2;             --color-surface: #FFFFFF;</w:t>
      </w:r>
    </w:p>
    <w:p>
      <w:pPr>
        <w:shd w:fill="F3F6F4" w:val="clear"/>
        <w:spacing w:after="0" w:line="240"/>
        <w:ind w:left="120"/>
      </w:pPr>
      <w:r>
        <w:rPr>
          <w:rFonts w:ascii="Consolas" w:cs="Consolas" w:eastAsia="Consolas" w:hAnsi="Consolas"/>
          <w:color w:val="1F2A24"/>
          <w:sz w:val="17"/>
          <w:szCs w:val="17"/>
        </w:rPr>
        <w:t xml:space="preserve">  --color-surface-green: #E8F5EC;  --color-surface-orange: #FFF0E0;</w:t>
      </w:r>
    </w:p>
    <w:p>
      <w:pPr>
        <w:shd w:fill="F3F6F4" w:val="clear"/>
        <w:spacing w:after="0" w:line="240"/>
        <w:ind w:left="120"/>
      </w:pPr>
      <w:r>
        <w:rPr>
          <w:rFonts w:ascii="Consolas" w:cs="Consolas" w:eastAsia="Consolas" w:hAnsi="Consolas"/>
          <w:color w:val="1F2A24"/>
          <w:sz w:val="17"/>
          <w:szCs w:val="17"/>
        </w:rPr>
        <w:t xml:space="preserve">  --color-border: #DCE5DF;         --color-danger: #B3261E;</w:t>
      </w:r>
    </w:p>
    <w:p>
      <w:pPr>
        <w:shd w:fill="F3F6F4" w:val="clear"/>
        <w:spacing w:after="0" w:line="240"/>
        <w:ind w:left="120"/>
      </w:pPr>
      <w:r>
        <w:rPr>
          <w:rFonts w:ascii="Consolas" w:cs="Consolas" w:eastAsia="Consolas" w:hAnsi="Consolas"/>
          <w:color w:val="1F2A24"/>
          <w:sz w:val="17"/>
          <w:szCs w:val="17"/>
        </w:rPr>
        <w:t xml:space="preserve">  --font-display: "Manrope", Arial, Helvetica, sans-serif;</w:t>
      </w:r>
    </w:p>
    <w:p>
      <w:pPr>
        <w:shd w:fill="F3F6F4" w:val="clear"/>
        <w:spacing w:after="0" w:line="240"/>
        <w:ind w:left="120"/>
      </w:pPr>
      <w:r>
        <w:rPr>
          <w:rFonts w:ascii="Consolas" w:cs="Consolas" w:eastAsia="Consolas" w:hAnsi="Consolas"/>
          <w:color w:val="1F2A24"/>
          <w:sz w:val="17"/>
          <w:szCs w:val="17"/>
        </w:rPr>
        <w:t xml:space="preserve">  --font-body: "Source Sans 3", Arial, Helvetica, sans-serif;</w:t>
      </w:r>
    </w:p>
    <w:p>
      <w:pPr>
        <w:shd w:fill="F3F6F4" w:val="clear"/>
        <w:spacing w:after="0" w:line="240"/>
        <w:ind w:left="120"/>
      </w:pPr>
      <w:r>
        <w:rPr>
          <w:rFonts w:ascii="Consolas" w:cs="Consolas" w:eastAsia="Consolas" w:hAnsi="Consolas"/>
          <w:color w:val="1F2A24"/>
          <w:sz w:val="17"/>
          <w:szCs w:val="17"/>
        </w:rPr>
        <w:t xml:space="preserve">  --space-1: 4px; --space-2: 8px; --space-3: 12px; --space-4: 16px;</w:t>
      </w:r>
    </w:p>
    <w:p>
      <w:pPr>
        <w:shd w:fill="F3F6F4" w:val="clear"/>
        <w:spacing w:after="0" w:line="240"/>
        <w:ind w:left="120"/>
      </w:pPr>
      <w:r>
        <w:rPr>
          <w:rFonts w:ascii="Consolas" w:cs="Consolas" w:eastAsia="Consolas" w:hAnsi="Consolas"/>
          <w:color w:val="1F2A24"/>
          <w:sz w:val="17"/>
          <w:szCs w:val="17"/>
        </w:rPr>
        <w:t xml:space="preserve">  --space-6: 24px; --space-8: 32px; --space-12: 48px; --space-16: 64px;</w:t>
      </w:r>
    </w:p>
    <w:p>
      <w:pPr>
        <w:shd w:fill="F3F6F4" w:val="clear"/>
        <w:spacing w:after="0" w:line="240"/>
        <w:ind w:left="120"/>
      </w:pPr>
      <w:r>
        <w:rPr>
          <w:rFonts w:ascii="Consolas" w:cs="Consolas" w:eastAsia="Consolas" w:hAnsi="Consolas"/>
          <w:color w:val="1F2A24"/>
          <w:sz w:val="17"/>
          <w:szCs w:val="17"/>
        </w:rPr>
        <w:t xml:space="preserve">  --radius-sm: 8px; --radius-md: 12px; --radius-lg: 16px; --tap-min: 44px;</w:t>
      </w:r>
    </w:p>
    <w:p>
      <w:pPr>
        <w:shd w:fill="F3F6F4" w:val="clear"/>
        <w:spacing w:after="0" w:line="240"/>
        <w:ind w:left="120"/>
      </w:pPr>
      <w:r>
        <w:rPr>
          <w:rFonts w:ascii="Consolas" w:cs="Consolas" w:eastAsia="Consolas" w:hAnsi="Consolas"/>
          <w:color w:val="1F2A24"/>
          <w:sz w:val="17"/>
          <w:szCs w:val="17"/>
        </w:rPr>
        <w:t xml:space="preserve">}</w:t>
      </w:r>
    </w:p>
    <w:p>
      <w:pPr>
        <w:pStyle w:val="Heading1"/>
        <w:pBdr>
          <w:bottom w:val="single" w:color="FE7402" w:sz="8" w:space="4"/>
        </w:pBdr>
        <w:spacing w:after="140" w:before="360"/>
      </w:pPr>
      <w:r>
        <w:rPr>
          <w:rFonts w:ascii="Arial" w:cs="Arial" w:eastAsia="Arial" w:hAnsi="Arial"/>
          <w:b/>
          <w:bCs/>
          <w:color w:val="0B5A2A"/>
          <w:sz w:val="32"/>
          <w:szCs w:val="32"/>
        </w:rPr>
        <w:t xml:space="preserve">8. Accessibilité, responsive et validation</w:t>
      </w:r>
    </w:p>
    <w:p>
      <w:pPr>
        <w:pStyle w:val="ListParagraph"/>
        <w:numPr>
          <w:ilvl w:val="0"/>
          <w:numId w:val="2"/>
        </w:numPr>
        <w:spacing w:after="70" w:line="290"/>
      </w:pPr>
      <w:r>
        <w:rPr>
          <w:rFonts w:ascii="Arial" w:cs="Arial" w:eastAsia="Arial" w:hAnsi="Arial"/>
          <w:color w:val="1F2A24"/>
          <w:sz w:val="21"/>
          <w:szCs w:val="21"/>
        </w:rPr>
        <w:t xml:space="preserve">Conception d’abord pour 360 px de large, puis tablette et ordinateur ; aucun défilement horizontal.</w:t>
      </w:r>
    </w:p>
    <w:p>
      <w:pPr>
        <w:pStyle w:val="ListParagraph"/>
        <w:numPr>
          <w:ilvl w:val="0"/>
          <w:numId w:val="2"/>
        </w:numPr>
        <w:spacing w:after="70" w:line="290"/>
      </w:pPr>
      <w:r>
        <w:rPr>
          <w:rFonts w:ascii="Arial" w:cs="Arial" w:eastAsia="Arial" w:hAnsi="Arial"/>
          <w:color w:val="1F2A24"/>
          <w:sz w:val="21"/>
          <w:szCs w:val="21"/>
        </w:rPr>
        <w:t xml:space="preserve">Zones tactiles d’au moins 44×44 px ; labels toujours visibles ; focus clavier identifiable.</w:t>
      </w:r>
    </w:p>
    <w:p>
      <w:pPr>
        <w:pStyle w:val="ListParagraph"/>
        <w:numPr>
          <w:ilvl w:val="0"/>
          <w:numId w:val="2"/>
        </w:numPr>
        <w:spacing w:after="70" w:line="290"/>
      </w:pPr>
      <w:r>
        <w:rPr>
          <w:rFonts w:ascii="Arial" w:cs="Arial" w:eastAsia="Arial" w:hAnsi="Arial"/>
          <w:color w:val="1F2A24"/>
          <w:sz w:val="21"/>
          <w:szCs w:val="21"/>
        </w:rPr>
        <w:t xml:space="preserve">Contrastes WCAG 2.2 AA : 4,5 : 1 (texte), 3 : 1 (grand texte, composants essentiels).</w:t>
      </w:r>
    </w:p>
    <w:p>
      <w:pPr>
        <w:pStyle w:val="ListParagraph"/>
        <w:numPr>
          <w:ilvl w:val="0"/>
          <w:numId w:val="2"/>
        </w:numPr>
        <w:spacing w:after="70" w:line="290"/>
      </w:pPr>
      <w:r>
        <w:rPr>
          <w:rFonts w:ascii="Arial" w:cs="Arial" w:eastAsia="Arial" w:hAnsi="Arial"/>
          <w:color w:val="1F2A24"/>
          <w:sz w:val="21"/>
          <w:szCs w:val="21"/>
        </w:rPr>
        <w:t xml:space="preserve">Tester : zoom 200 %, navigation clavier, messages d’erreur, états de chargement, téléphones Android courants, connexions mobiles variables.</w:t>
      </w:r>
    </w:p>
    <w:p>
      <w:pPr>
        <w:pStyle w:val="Heading1"/>
        <w:pBdr>
          <w:bottom w:val="single" w:color="FE7402" w:sz="8" w:space="4"/>
        </w:pBdr>
        <w:spacing w:after="140" w:before="360"/>
      </w:pPr>
      <w:r>
        <w:rPr>
          <w:rFonts w:ascii="Arial" w:cs="Arial" w:eastAsia="Arial" w:hAnsi="Arial"/>
          <w:b/>
          <w:bCs/>
          <w:color w:val="0B5A2A"/>
          <w:sz w:val="32"/>
          <w:szCs w:val="32"/>
        </w:rPr>
        <w:t xml:space="preserve">9. Gouvernance des fichiers et acceptation</w:t>
      </w:r>
    </w:p>
    <w:p>
      <w:pPr>
        <w:pStyle w:val="ListParagraph"/>
        <w:numPr>
          <w:ilvl w:val="0"/>
          <w:numId w:val="2"/>
        </w:numPr>
        <w:spacing w:after="70" w:line="290"/>
      </w:pPr>
      <w:r>
        <w:rPr>
          <w:rFonts w:ascii="Arial" w:cs="Arial" w:eastAsia="Arial" w:hAnsi="Arial"/>
          <w:color w:val="1F2A24"/>
          <w:sz w:val="21"/>
          <w:szCs w:val="21"/>
        </w:rPr>
        <w:t xml:space="preserve">Dossier /brand avec /logo, /icons, /favicon, /fonts, /tokens, /guidelines. Fichiers en minuscules, sans espaces, avec version : soutrali-logo-horizontal-v1.svg.</w:t>
      </w:r>
    </w:p>
    <w:p>
      <w:pPr>
        <w:pStyle w:val="ListParagraph"/>
        <w:numPr>
          <w:ilvl w:val="0"/>
          <w:numId w:val="2"/>
        </w:numPr>
        <w:spacing w:after="70" w:line="290"/>
      </w:pPr>
      <w:r>
        <w:rPr>
          <w:rFonts w:ascii="Arial" w:cs="Arial" w:eastAsia="Arial" w:hAnsi="Arial"/>
          <w:color w:val="1F2A24"/>
          <w:sz w:val="21"/>
          <w:szCs w:val="21"/>
        </w:rPr>
        <w:t xml:space="preserve">Toute modification du logo ou de la palette passe par une nouvelle version de ce document et une entrée dans le journal de README.md.</w:t>
      </w:r>
    </w:p>
    <w:p>
      <w:pPr>
        <w:pStyle w:val="ListParagraph"/>
        <w:numPr>
          <w:ilvl w:val="0"/>
          <w:numId w:val="2"/>
        </w:numPr>
        <w:spacing w:after="70" w:line="290"/>
      </w:pPr>
      <w:r>
        <w:rPr>
          <w:rFonts w:ascii="Arial" w:cs="Arial" w:eastAsia="Arial" w:hAnsi="Arial"/>
          <w:color w:val="1F2A24"/>
          <w:sz w:val="21"/>
          <w:szCs w:val="21"/>
        </w:rPr>
        <w:t xml:space="preserve">Avant livraison : vérifier favicon dans le navigateur, icône sur mobile, rendu imprimé, absence de fond blanc parasite, police chargée localement avec repli.</w:t>
      </w:r>
    </w:p>
    <w:p>
      <w:pPr>
        <w:pStyle w:val="Heading2"/>
        <w:spacing w:after="100" w:before="240"/>
      </w:pPr>
      <w:r>
        <w:rPr>
          <w:rFonts w:ascii="Arial" w:cs="Arial" w:eastAsia="Arial" w:hAnsi="Arial"/>
          <w:b/>
          <w:bCs/>
          <w:color w:val="037C30"/>
          <w:sz w:val="25"/>
          <w:szCs w:val="25"/>
        </w:rPr>
        <w:t xml:space="preserve">Décisions à valider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5"/>
        <w:gridCol w:w="6827"/>
        <w:gridCol w:w="1606"/>
      </w:tblGrid>
      <w:tr>
        <w:trPr>
          <w:tblHeader/>
        </w:trPr>
        <w:tc>
          <w:tcPr>
            <w:tcW w:type="dxa" w:w="1205"/>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ID</w:t>
            </w:r>
          </w:p>
        </w:tc>
        <w:tc>
          <w:tcPr>
            <w:tcW w:type="dxa" w:w="6827"/>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Point</w:t>
            </w:r>
          </w:p>
        </w:tc>
        <w:tc>
          <w:tcPr>
            <w:tcW w:type="dxa" w:w="1606"/>
            <w:tcBorders>
              <w:top w:val="single" w:color="DCE5DF" w:sz="4"/>
              <w:left w:val="single" w:color="DCE5DF" w:sz="4"/>
              <w:bottom w:val="single" w:color="DCE5DF" w:sz="4"/>
              <w:right w:val="single" w:color="DCE5DF" w:sz="4"/>
            </w:tcBorders>
            <w:shd w:fill="0B5A2A" w:val="clear"/>
            <w:tcMar>
              <w:top w:type="dxa" w:w="70"/>
              <w:left w:type="dxa" w:w="100"/>
              <w:bottom w:type="dxa" w:w="70"/>
              <w:right w:type="dxa" w:w="100"/>
            </w:tcMar>
          </w:tcPr>
          <w:p>
            <w:pPr>
              <w:spacing w:after="20" w:line="260"/>
            </w:pPr>
            <w:r>
              <w:rPr>
                <w:rFonts w:ascii="Arial" w:cs="Arial" w:eastAsia="Arial" w:hAnsi="Arial"/>
                <w:b/>
                <w:bCs/>
                <w:color w:val="FFFFFF"/>
                <w:sz w:val="19"/>
                <w:szCs w:val="19"/>
              </w:rPr>
              <w:t xml:space="preserve">Statut</w:t>
            </w:r>
          </w:p>
        </w:tc>
      </w:tr>
      <w:tr>
        <w:trPr>
          <w:cantSplit/>
        </w:trPr>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D-02a</w:t>
            </w:r>
          </w:p>
        </w:tc>
        <w:tc>
          <w:tcPr>
            <w:tcW w:type="dxa" w:w="68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Palette v2 (orange #FE7402, vert #037C30, dérivés)</w:t>
            </w:r>
          </w:p>
        </w:tc>
        <w:tc>
          <w:tcPr>
            <w:tcW w:type="dxa" w:w="16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Proposé</w:t>
            </w:r>
          </w:p>
        </w:tc>
      </w:tr>
      <w:tr>
        <w:trPr>
          <w:cantSplit/>
        </w:trPr>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D-02b</w:t>
            </w:r>
          </w:p>
        </w:tc>
        <w:tc>
          <w:tcPr>
            <w:tcW w:type="dxa" w:w="68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Logo actuel confirmé comme logo de lancement, ou retravaillé</w:t>
            </w:r>
          </w:p>
        </w:tc>
        <w:tc>
          <w:tcPr>
            <w:tcW w:type="dxa" w:w="16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Ouvert</w:t>
            </w:r>
          </w:p>
        </w:tc>
      </w:tr>
      <w:tr>
        <w:trPr>
          <w:cantSplit/>
        </w:trPr>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D-02c</w:t>
            </w:r>
          </w:p>
        </w:tc>
        <w:tc>
          <w:tcPr>
            <w:tcW w:type="dxa" w:w="68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Zone de protection (hauteur du « S » du mot-symbole)</w:t>
            </w:r>
          </w:p>
        </w:tc>
        <w:tc>
          <w:tcPr>
            <w:tcW w:type="dxa" w:w="16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Proposé</w:t>
            </w:r>
          </w:p>
        </w:tc>
      </w:tr>
      <w:tr>
        <w:trPr>
          <w:cantSplit/>
        </w:trPr>
        <w:tc>
          <w:tcPr>
            <w:tcW w:type="dxa" w:w="1205"/>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D-02d</w:t>
            </w:r>
          </w:p>
        </w:tc>
        <w:tc>
          <w:tcPr>
            <w:tcW w:type="dxa" w:w="6827"/>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Polices Manrope / Source Sans 3 confirmées</w:t>
            </w:r>
          </w:p>
        </w:tc>
        <w:tc>
          <w:tcPr>
            <w:tcW w:type="dxa" w:w="1606"/>
            <w:tcBorders>
              <w:top w:val="single" w:color="DCE5DF" w:sz="4"/>
              <w:left w:val="single" w:color="DCE5DF" w:sz="4"/>
              <w:bottom w:val="single" w:color="DCE5DF" w:sz="4"/>
              <w:right w:val="single" w:color="DCE5DF" w:sz="4"/>
            </w:tcBorders>
            <w:tcMar>
              <w:top w:type="dxa" w:w="70"/>
              <w:left w:type="dxa" w:w="100"/>
              <w:bottom w:type="dxa" w:w="70"/>
              <w:right w:type="dxa" w:w="100"/>
            </w:tcMar>
          </w:tcPr>
          <w:p>
            <w:pPr>
              <w:spacing w:after="20" w:line="260"/>
            </w:pPr>
            <w:r>
              <w:rPr>
                <w:rFonts w:ascii="Arial" w:cs="Arial" w:eastAsia="Arial" w:hAnsi="Arial"/>
                <w:color w:val="1F2A24"/>
                <w:sz w:val="19"/>
                <w:szCs w:val="19"/>
              </w:rPr>
              <w:t xml:space="preserve">Proposé</w:t>
            </w:r>
          </w:p>
        </w:tc>
      </w:tr>
    </w:tbl>
    <w:sectPr>
      <w:footerReference w:type="default" r:id="rId7"/>
      <w:pgSz w:w="11906" w:h="16838" w:orient="portrait"/>
      <w:pgMar w:top="1134" w:right="1134" w:bottom="1134" w:left="1134"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62"/>
        <w:sz w:val="16"/>
        <w:szCs w:val="16"/>
      </w:rPr>
      <w:t xml:space="preserve">SOUTRALI — L’entraide à porter de main   |   Charte graphique
et spécifications visuelles v2.0   |   page </w:t>
    </w:r>
    <w:r>
      <w:rPr>
        <w:rFonts w:ascii="Arial" w:cs="Arial" w:eastAsia="Arial" w:hAnsi="Arial"/>
        <w:color w:val="5A6B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90acd521cd6ec4c3f4730190187bd288050c415.png"/><Relationship Id="rId9" Type="http://schemas.openxmlformats.org/officeDocument/2006/relationships/image" Target="media/96034d5a052c7e8ba6a35c1616c599a6928ce85b.png"/><Relationship Id="rId10" Type="http://schemas.openxmlformats.org/officeDocument/2006/relationships/image" Target="media/51c4b28ecfafe37d95cb57037e57674bf2410beb.png"/><Relationship Id="rId11" Type="http://schemas.openxmlformats.org/officeDocument/2006/relationships/image" Target="media/f5a64bca2da16cc4fe488d8c1258a56c30c74fa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Soutrali – Charte graphique
et spécifications visuelles</dc:title>
  <dc:creator>Soutrali</dc:creator>
  <cp:lastModifiedBy>Un-named</cp:lastModifiedBy>
  <cp:revision>1</cp:revision>
  <dcterms:created xsi:type="dcterms:W3CDTF">2026-10-20T07:01:55.566Z</dcterms:created>
  <dcterms:modified xsi:type="dcterms:W3CDTF">2026-10-20T07:01:55.566Z</dcterms:modified>
</cp:coreProperties>
</file>

<file path=docProps/custom.xml><?xml version="1.0" encoding="utf-8"?>
<Properties xmlns="http://schemas.openxmlformats.org/officeDocument/2006/custom-properties" xmlns:vt="http://schemas.openxmlformats.org/officeDocument/2006/docPropsVTypes"/>
</file>