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Ind w:type="dxa" w:w="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1906"/>
      </w:tblGrid>
      <w:tr>
        <w:trPr>
          <w:trHeight w:val="8600" w:hRule="exact"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A2A" w:val="clear"/>
            <w:tcMar>
              <w:top w:type="dxa" w:w="0"/>
              <w:left w:type="dxa" w:w="900"/>
              <w:bottom w:type="dxa" w:w="0"/>
              <w:right w:type="dxa" w:w="9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143250" cy="2333625"/>
                  <wp:effectExtent t="0" r="0" b="0" l="0"/>
                  <wp:docPr id="1" name="/home/claude/docs/c_vi.png" descr="Logo Soutrali" title="Logo Soutral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L’entraide à porter de main</w:t>
            </w:r>
          </w:p>
          <w:p>
            <w:pPr>
              <w:spacing w:after="0" w:before="700"/>
              <w:jc w:val="center"/>
            </w:pPr>
            <w:r>
              <w:rPr>
                <w:rFonts w:ascii="Arial" w:cs="Arial" w:eastAsia="Arial" w:hAnsi="Arial"/>
                <w:color w:val="1F2A24"/>
                <w:sz w:val="22"/>
                <w:szCs w:val="22"/>
              </w:rPr>
              <w:t xml:space="preserve"/>
            </w:r>
          </w:p>
          <w:p>
            <w:pPr>
              <w:spacing w:after="2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9B27A"/>
                <w:spacing w:val="60"/>
                <w:sz w:val="19"/>
                <w:szCs w:val="19"/>
              </w:rPr>
              <w:t xml:space="preserve">PHASE 4  ·  DOCUMENTATION TECHNIQUE</w:t>
            </w:r>
          </w:p>
          <w:p>
            <w:pPr>
              <w:spacing w:after="0" w:before="0" w:line="6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Stack technique</w:t>
            </w:r>
          </w:p>
        </w:tc>
      </w:tr>
      <w:tr>
        <w:trPr>
          <w:trHeight w:val="240" w:hRule="exact"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7402" w:val="clear"/>
            <w:tcMar>
              <w:top w:type="dxa" w:w="0"/>
              <w:left w:type="dxa" w:w="900"/>
              <w:bottom w:type="dxa" w:w="0"/>
              <w:right w:type="dxa" w:w="9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F2A24"/>
                <w:sz w:val="22"/>
                <w:szCs w:val="22"/>
              </w:rPr>
              <w:t xml:space="preserve"/>
            </w:r>
          </w:p>
        </w:tc>
      </w:tr>
      <w:tr>
        <w:trPr>
          <w:trHeight w:val="4300" w:hRule="exact"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900"/>
              <w:bottom w:type="dxa" w:w="0"/>
              <w:right w:type="dxa" w:w="900"/>
            </w:tcMar>
            <w:vAlign w:val="center"/>
          </w:tcPr>
          <w:p>
            <w:pPr>
              <w:spacing w:after="360" w:before="0"/>
              <w:jc w:val="center"/>
            </w:pPr>
            <w:r>
              <w:rPr>
                <w:rFonts w:ascii="Arial" w:cs="Arial" w:eastAsia="Arial" w:hAnsi="Arial"/>
                <w:color w:val="5A6B62"/>
                <w:sz w:val="26"/>
                <w:szCs w:val="26"/>
              </w:rPr>
              <w:t xml:space="preserve">Choix de pile, architecture et exploitation</w:t>
            </w:r>
          </w:p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037C30"/>
                <w:spacing w:val="30"/>
                <w:sz w:val="15"/>
                <w:szCs w:val="15"/>
              </w:rPr>
              <w:t xml:space="preserve">VERSION   </w:t>
            </w: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0.1 — 19 octobre 2026</w:t>
            </w:r>
          </w:p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037C30"/>
                <w:spacing w:val="30"/>
                <w:sz w:val="15"/>
                <w:szCs w:val="15"/>
              </w:rPr>
              <w:t xml:space="preserve">STATUT   </w:t>
            </w: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Proposition à valider</w:t>
            </w:r>
          </w:p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037C30"/>
                <w:spacing w:val="30"/>
                <w:sz w:val="15"/>
                <w:szCs w:val="15"/>
              </w:rPr>
              <w:t xml:space="preserve">DÉPEND DE   </w:t>
            </w: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CDC v2, Charte v2, décisions D-04, D-05, D-09</w:t>
            </w:r>
          </w:p>
        </w:tc>
      </w:tr>
      <w:tr>
        <w:trPr>
          <w:trHeight w:val="3640" w:hRule="exact"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0"/>
              <w:left w:type="dxa" w:w="900"/>
              <w:bottom w:type="dxa" w:w="0"/>
              <w:right w:type="dxa" w:w="9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5A2A"/>
                <w:sz w:val="19"/>
                <w:szCs w:val="19"/>
              </w:rPr>
              <w:t xml:space="preserve">Proposition conditionnelle, à confirmer après les réponses sur l’équipe et le budget</w:t>
            </w:r>
          </w:p>
          <w:p>
            <w:pPr>
              <w:spacing w:after="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B24A00"/>
                <w:spacing w:val="40"/>
                <w:sz w:val="17"/>
                <w:szCs w:val="17"/>
              </w:rPr>
              <w:t xml:space="preserve">v0.1</w:t>
            </w:r>
          </w:p>
        </w:tc>
      </w:tr>
    </w:tbl>
    <w:p>
      <w:pPr>
        <w:spacing w:after="0" w:line="20"/>
      </w:pPr>
      <w:r>
        <w:rPr>
          <w:sz w:val="2"/>
          <w:szCs w:val="2"/>
        </w:rPr>
        <w:t xml:space="preserve"/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FE7402" w:sz="24"/>
              <w:bottom w:val="none"/>
              <w:right w:val="none"/>
            </w:tcBorders>
            <w:shd w:fill="FF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1F2A24"/>
                <w:sz w:val="21"/>
                <w:szCs w:val="21"/>
              </w:rPr>
              <w:t xml:space="preserve">Statut.</w:t>
            </w:r>
            <w:r>
              <w:rPr>
                <w:rFonts w:ascii="Arial" w:cs="Arial" w:eastAsia="Arial" w:hAnsi="Arial"/>
                <w:color w:val="1F2A24"/>
                <w:sz w:val="21"/>
                <w:szCs w:val="21"/>
              </w:rPr>
              <w:t xml:space="preserve"> Version 0.1, </w:t>
            </w:r>
            <w:r>
              <w:rPr>
                <w:rFonts w:ascii="Arial" w:cs="Arial" w:eastAsia="Arial" w:hAnsi="Arial"/>
                <w:b/>
                <w:bCs/>
                <w:color w:val="1F2A24"/>
                <w:sz w:val="21"/>
                <w:szCs w:val="21"/>
              </w:rPr>
              <w:t xml:space="preserve">proposition à valider</w:t>
            </w:r>
            <w:r>
              <w:rPr>
                <w:rFonts w:ascii="Arial" w:cs="Arial" w:eastAsia="Arial" w:hAnsi="Arial"/>
                <w:color w:val="1F2A24"/>
                <w:sz w:val="21"/>
                <w:szCs w:val="21"/>
              </w:rPr>
              <w:t xml:space="preserve"> (Phase 4). L’équipe, les compétences disponibles, le budget et l’hébergement ne sont pas encore connus : la recommandation est donc </w:t>
            </w:r>
            <w:r>
              <w:rPr>
                <w:rFonts w:ascii="Arial" w:cs="Arial" w:eastAsia="Arial" w:hAnsi="Arial"/>
                <w:b/>
                <w:bCs/>
                <w:color w:val="1F2A24"/>
                <w:sz w:val="21"/>
                <w:szCs w:val="21"/>
              </w:rPr>
              <w:t xml:space="preserve">conditionnelle</w:t>
            </w:r>
            <w:r>
              <w:rPr>
                <w:rFonts w:ascii="Arial" w:cs="Arial" w:eastAsia="Arial" w:hAnsi="Arial"/>
                <w:color w:val="1F2A24"/>
                <w:sz w:val="21"/>
                <w:szCs w:val="21"/>
              </w:rPr>
              <w:t xml:space="preserve"> et sera confirmée ou remplacée après vos réponses (§9). Aucun prix, aucune version précise ni aucune performance n’est affirmé ici ; ces éléments seront vérifiés à la date de démarrage.</w:t>
            </w:r>
          </w:p>
        </w:tc>
      </w:tr>
    </w:tbl>
    <w:p>
      <w:pPr>
        <w:pStyle w:val="Heading1"/>
        <w:pBdr>
          <w:bottom w:val="single" w:color="FE7402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0B5A2A"/>
          <w:sz w:val="32"/>
          <w:szCs w:val="32"/>
        </w:rPr>
        <w:t xml:space="preserve">1. Objectif et contraintes</w:t>
      </w:r>
    </w:p>
    <w:p>
      <w:pPr>
        <w:spacing w:after="110" w:line="30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Choisir une pile technique </w:t>
      </w:r>
      <w:r>
        <w:rPr>
          <w:rFonts w:ascii="Arial" w:cs="Arial" w:eastAsia="Arial" w:hAnsi="Arial"/>
          <w:b/>
          <w:bCs/>
          <w:color w:val="1F2A24"/>
          <w:sz w:val="21"/>
          <w:szCs w:val="21"/>
        </w:rPr>
        <w:t xml:space="preserve">simple, maintenable et peu coûteuse</w:t>
      </w:r>
      <w:r>
        <w:rPr>
          <w:rFonts w:ascii="Arial" w:cs="Arial" w:eastAsia="Arial" w:hAnsi="Arial"/>
          <w:color w:val="1F2A24"/>
          <w:sz w:val="21"/>
          <w:szCs w:val="21"/>
        </w:rPr>
        <w:t xml:space="preserve"> pour un MVP web responsive mobile-first à Abidjan, qui supporte la méthode de travail collaborative (IA + développeurs + chefs de projet) et reste évolutive vers une PWA.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1807"/>
        <w:gridCol w:w="4217"/>
      </w:tblGrid>
      <w:tr>
        <w:trPr>
          <w:tblHeader/>
        </w:trPr>
        <w:tc>
          <w:tcPr>
            <w:tcW w:type="dxa" w:w="3614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shd w:fill="0B5A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Contrainte</w:t>
            </w:r>
          </w:p>
        </w:tc>
        <w:tc>
          <w:tcPr>
            <w:tcW w:type="dxa" w:w="1807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shd w:fill="0B5A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Origine</w:t>
            </w:r>
          </w:p>
        </w:tc>
        <w:tc>
          <w:tcPr>
            <w:tcW w:type="dxa" w:w="4217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shd w:fill="0B5A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Conséquence technique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MVP simple, sans paiement, GPS, application native</w:t>
            </w:r>
          </w:p>
        </w:tc>
        <w:tc>
          <w:tcPr>
            <w:tcW w:type="dxa" w:w="1807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CDC §3.2</w:t>
            </w:r>
          </w:p>
        </w:tc>
        <w:tc>
          <w:tcPr>
            <w:tcW w:type="dxa" w:w="4217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Application web unique, pas de microservices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Pages légères, réseau variable, Android courants</w:t>
            </w:r>
          </w:p>
        </w:tc>
        <w:tc>
          <w:tcPr>
            <w:tcW w:type="dxa" w:w="1807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CDC NF-01, NF-11</w:t>
            </w:r>
          </w:p>
        </w:tc>
        <w:tc>
          <w:tcPr>
            <w:tcW w:type="dxa" w:w="4217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Rendu serveur de préférence, JavaScript limité, images optimisées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Back-office de modération et de référentiels</w:t>
            </w:r>
          </w:p>
        </w:tc>
        <w:tc>
          <w:tcPr>
            <w:tcW w:type="dxa" w:w="1807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CDC F-08, F-13</w:t>
            </w:r>
          </w:p>
        </w:tc>
        <w:tc>
          <w:tcPr>
            <w:tcW w:type="dxa" w:w="4217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Interface d’administration à faible coût de développement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Rôles et droits côté serveur</w:t>
            </w:r>
          </w:p>
        </w:tc>
        <w:tc>
          <w:tcPr>
            <w:tcW w:type="dxa" w:w="1807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CDC RM-16</w:t>
            </w:r>
          </w:p>
        </w:tc>
        <w:tc>
          <w:tcPr>
            <w:tcW w:type="dxa" w:w="4217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Authentification et autorisations éprouvées, pas de solution maison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Protection des données, minimisation</w:t>
            </w:r>
          </w:p>
        </w:tc>
        <w:tc>
          <w:tcPr>
            <w:tcW w:type="dxa" w:w="1807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CDC NF-05</w:t>
            </w:r>
          </w:p>
        </w:tc>
        <w:tc>
          <w:tcPr>
            <w:tcW w:type="dxa" w:w="4217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Contrôle d’accès, sauvegardes, choix de région d’hébergement à arbitrer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Reprise par une relève, travail à plusieurs</w:t>
            </w:r>
          </w:p>
        </w:tc>
        <w:tc>
          <w:tcPr>
            <w:tcW w:type="dxa" w:w="1807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NF-13</w:t>
            </w:r>
          </w:p>
        </w:tc>
        <w:tc>
          <w:tcPr>
            <w:tcW w:type="dxa" w:w="4217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Code lisible, tests, CI, documentation, conventions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Identité visuelle</w:t>
            </w:r>
          </w:p>
        </w:tc>
        <w:tc>
          <w:tcPr>
            <w:tcW w:type="dxa" w:w="1807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Charte v2</w:t>
            </w:r>
          </w:p>
        </w:tc>
        <w:tc>
          <w:tcPr>
            <w:tcW w:type="dxa" w:w="4217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Tokens CSS centralisés, polices hébergées localement</w:t>
            </w:r>
          </w:p>
        </w:tc>
      </w:tr>
    </w:tbl>
    <w:p>
      <w:pPr>
        <w:pStyle w:val="Heading1"/>
        <w:pBdr>
          <w:bottom w:val="single" w:color="FE7402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0B5A2A"/>
          <w:sz w:val="32"/>
          <w:szCs w:val="32"/>
        </w:rPr>
        <w:t xml:space="preserve">2. Critères de comparaison</w:t>
      </w:r>
    </w:p>
    <w:p>
      <w:pPr>
        <w:spacing w:after="110" w:line="30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Ceux de la contextualisation : simplicité, coût, maintenance, sécurité, compétences nécessaires, adéquation au contexte. Ajout : </w:t>
      </w:r>
      <w:r>
        <w:rPr>
          <w:rFonts w:ascii="Arial" w:cs="Arial" w:eastAsia="Arial" w:hAnsi="Arial"/>
          <w:b/>
          <w:bCs/>
          <w:color w:val="1F2A24"/>
          <w:sz w:val="21"/>
          <w:szCs w:val="21"/>
        </w:rPr>
        <w:t xml:space="preserve">vitesse de livraison du MVP</w:t>
      </w:r>
      <w:r>
        <w:rPr>
          <w:rFonts w:ascii="Arial" w:cs="Arial" w:eastAsia="Arial" w:hAnsi="Arial"/>
          <w:color w:val="1F2A24"/>
          <w:sz w:val="21"/>
          <w:szCs w:val="21"/>
        </w:rPr>
        <w:t xml:space="preserve"> et </w:t>
      </w:r>
      <w:r>
        <w:rPr>
          <w:rFonts w:ascii="Arial" w:cs="Arial" w:eastAsia="Arial" w:hAnsi="Arial"/>
          <w:b/>
          <w:bCs/>
          <w:color w:val="1F2A24"/>
          <w:sz w:val="21"/>
          <w:szCs w:val="21"/>
        </w:rPr>
        <w:t xml:space="preserve">qualité de l’assistance IA</w:t>
      </w:r>
      <w:r>
        <w:rPr>
          <w:rFonts w:ascii="Arial" w:cs="Arial" w:eastAsia="Arial" w:hAnsi="Arial"/>
          <w:color w:val="1F2A24"/>
          <w:sz w:val="21"/>
          <w:szCs w:val="21"/>
        </w:rPr>
        <w:t xml:space="preserve"> sur la pile (disponibilité de nombreux exemples, conventions claires).</w:t>
      </w:r>
    </w:p>
    <w:p>
      <w:pPr>
        <w:pStyle w:val="Heading1"/>
        <w:pBdr>
          <w:bottom w:val="single" w:color="FE7402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0B5A2A"/>
          <w:sz w:val="32"/>
          <w:szCs w:val="32"/>
        </w:rPr>
        <w:t xml:space="preserve">3. Options comparées</w:t>
      </w:r>
    </w:p>
    <w:p>
      <w:pPr>
        <w:spacing w:after="110" w:line="30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Évaluation </w:t>
      </w:r>
      <w:r>
        <w:rPr>
          <w:rFonts w:ascii="Arial" w:cs="Arial" w:eastAsia="Arial" w:hAnsi="Arial"/>
          <w:b/>
          <w:bCs/>
          <w:color w:val="1F2A24"/>
          <w:sz w:val="21"/>
          <w:szCs w:val="21"/>
        </w:rPr>
        <w:t xml:space="preserve">qualitative</w:t>
      </w:r>
      <w:r>
        <w:rPr>
          <w:rFonts w:ascii="Arial" w:cs="Arial" w:eastAsia="Arial" w:hAnsi="Arial"/>
          <w:color w:val="1F2A24"/>
          <w:sz w:val="21"/>
          <w:szCs w:val="21"/>
        </w:rPr>
        <w:t xml:space="preserve"> et indicative, fondée sur les caractéristiques générales de ces technologies, non sur des mesures. Elle dépend fortement des compétences de l’équipe.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610"/>
        <w:gridCol w:w="2610"/>
        <w:gridCol w:w="2410"/>
      </w:tblGrid>
      <w:tr>
        <w:trPr>
          <w:tblHeader/>
        </w:trPr>
        <w:tc>
          <w:tcPr>
            <w:tcW w:type="dxa" w:w="2008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shd w:fill="0B5A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2610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shd w:fill="0B5A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A. Django + PostgreSQL (rendu serveur)</w:t>
            </w:r>
          </w:p>
        </w:tc>
        <w:tc>
          <w:tcPr>
            <w:tcW w:type="dxa" w:w="2610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shd w:fill="0B5A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B. Laravel + MySQL/PostgreSQL (rendu serveur)</w:t>
            </w:r>
          </w:p>
        </w:tc>
        <w:tc>
          <w:tcPr>
            <w:tcW w:type="dxa" w:w="2410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shd w:fill="0B5A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C. Next.js + service géré (base, authentification)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Back-office admin / modération</w:t>
            </w:r>
          </w:p>
        </w:tc>
        <w:tc>
          <w:tcPr>
            <w:tcW w:type="dxa" w:w="2610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Fourni nativement (admin Django), très rapide à configurer</w:t>
            </w:r>
          </w:p>
        </w:tc>
        <w:tc>
          <w:tcPr>
            <w:tcW w:type="dxa" w:w="2610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Via un module d’administration à ajouter (écosystème riche)</w:t>
            </w:r>
          </w:p>
        </w:tc>
        <w:tc>
          <w:tcPr>
            <w:tcW w:type="dxa" w:w="2410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À construire ou à brancher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shd w:fill="F8FB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Authentification, rôles</w:t>
            </w:r>
          </w:p>
        </w:tc>
        <w:tc>
          <w:tcPr>
            <w:tcW w:type="dxa" w:w="2610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shd w:fill="F8FB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Intégrés</w:t>
            </w:r>
          </w:p>
        </w:tc>
        <w:tc>
          <w:tcPr>
            <w:tcW w:type="dxa" w:w="2610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shd w:fill="F8FB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Intégrés (kits d’authentification)</w:t>
            </w:r>
          </w:p>
        </w:tc>
        <w:tc>
          <w:tcPr>
            <w:tcW w:type="dxa" w:w="2410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shd w:fill="F8FB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Fournis par le service géré, couplage au fournisseur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Pages légères sur mobile</w:t>
            </w:r>
          </w:p>
        </w:tc>
        <w:tc>
          <w:tcPr>
            <w:tcW w:type="dxa" w:w="2610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Très bon : HTML rendu serveur, JavaScript minimal possible</w:t>
            </w:r>
          </w:p>
        </w:tc>
        <w:tc>
          <w:tcPr>
            <w:tcW w:type="dxa" w:w="2610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Très bon : idem</w:t>
            </w:r>
          </w:p>
        </w:tc>
        <w:tc>
          <w:tcPr>
            <w:tcW w:type="dxa" w:w="2410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Bon si bien maîtrisé ; tendance à plus de JavaScript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shd w:fill="F8FB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Simplicité de déploiement</w:t>
            </w:r>
          </w:p>
        </w:tc>
        <w:tc>
          <w:tcPr>
            <w:tcW w:type="dxa" w:w="2610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shd w:fill="F8FB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Un service d’application + une base</w:t>
            </w:r>
          </w:p>
        </w:tc>
        <w:tc>
          <w:tcPr>
            <w:tcW w:type="dxa" w:w="2610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shd w:fill="F8FB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Un service d’application + une base ; hébergement mutualisé possible</w:t>
            </w:r>
          </w:p>
        </w:tc>
        <w:tc>
          <w:tcPr>
            <w:tcW w:type="dxa" w:w="2410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shd w:fill="F8FB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Simple en apparence, mais dépend de plateformes tierces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Coût et dépendance</w:t>
            </w:r>
          </w:p>
        </w:tc>
        <w:tc>
          <w:tcPr>
            <w:tcW w:type="dxa" w:w="2610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Logiciels libres ; hébergement à choisir</w:t>
            </w:r>
          </w:p>
        </w:tc>
        <w:tc>
          <w:tcPr>
            <w:tcW w:type="dxa" w:w="2610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Logiciels libres ; hébergement à choisir</w:t>
            </w:r>
          </w:p>
        </w:tc>
        <w:tc>
          <w:tcPr>
            <w:tcW w:type="dxa" w:w="2410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Coûts récurrents à surveiller ; dépendance au fournisseur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shd w:fill="F8FB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Compétences à prévoir</w:t>
            </w:r>
          </w:p>
        </w:tc>
        <w:tc>
          <w:tcPr>
            <w:tcW w:type="dxa" w:w="2610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shd w:fill="F8FB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Python</w:t>
            </w:r>
          </w:p>
        </w:tc>
        <w:tc>
          <w:tcPr>
            <w:tcW w:type="dxa" w:w="2610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shd w:fill="F8FB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PHP</w:t>
            </w:r>
          </w:p>
        </w:tc>
        <w:tc>
          <w:tcPr>
            <w:tcW w:type="dxa" w:w="2410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shd w:fill="F8FB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TypeScript / React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Évolution vers PWA / API</w:t>
            </w:r>
          </w:p>
        </w:tc>
        <w:tc>
          <w:tcPr>
            <w:tcW w:type="dxa" w:w="2610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Possible (API REST ajoutable, manifeste PWA)</w:t>
            </w:r>
          </w:p>
        </w:tc>
        <w:tc>
          <w:tcPr>
            <w:tcW w:type="dxa" w:w="2610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Possible</w:t>
            </w:r>
          </w:p>
        </w:tc>
        <w:tc>
          <w:tcPr>
            <w:tcW w:type="dxa" w:w="2410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Naturelle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shd w:fill="F8FB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Risque principal</w:t>
            </w:r>
          </w:p>
        </w:tc>
        <w:tc>
          <w:tcPr>
            <w:tcW w:type="dxa" w:w="2610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shd w:fill="F8FB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Compétence Python à confirmer</w:t>
            </w:r>
          </w:p>
        </w:tc>
        <w:tc>
          <w:tcPr>
            <w:tcW w:type="dxa" w:w="2610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shd w:fill="F8FB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Compétence PHP à confirmer</w:t>
            </w:r>
          </w:p>
        </w:tc>
        <w:tc>
          <w:tcPr>
            <w:tcW w:type="dxa" w:w="2410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shd w:fill="F8FB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Coût et verrouillage fournisseur ; SMS / contact à intégrer</w:t>
            </w:r>
          </w:p>
        </w:tc>
      </w:tr>
    </w:tbl>
    <w:p>
      <w:pPr>
        <w:pStyle w:val="Heading1"/>
        <w:pBdr>
          <w:bottom w:val="single" w:color="FE7402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0B5A2A"/>
          <w:sz w:val="32"/>
          <w:szCs w:val="32"/>
        </w:rPr>
        <w:t xml:space="preserve">4. Recommandation (conditionnelle)</w:t>
      </w:r>
    </w:p>
    <w:p>
      <w:pPr>
        <w:spacing w:after="110" w:line="300"/>
      </w:pPr>
      <w:r>
        <w:rPr>
          <w:rFonts w:ascii="Arial" w:cs="Arial" w:eastAsia="Arial" w:hAnsi="Arial"/>
          <w:b/>
          <w:bCs/>
          <w:color w:val="1F2A24"/>
          <w:sz w:val="21"/>
          <w:szCs w:val="21"/>
        </w:rPr>
        <w:t xml:space="preserve">Option A : Django + PostgreSQL, interface rendue côté serveur avec un peu de JavaScript progressif.</w:t>
      </w:r>
      <w:r>
        <w:rPr>
          <w:rFonts w:ascii="Arial" w:cs="Arial" w:eastAsia="Arial" w:hAnsi="Arial"/>
          <w:color w:val="1F2A24"/>
          <w:sz w:val="21"/>
          <w:szCs w:val="21"/>
        </w:rPr>
        <w:t xml:space="preserve"> Raisons : le back-office de modération et de gestion des catégories et communes est largement fourni, l’authentification et les rôles sont intégrés, et le rendu serveur répond directement à l’exigence de pages légères sur réseau variable. Le périmètre du MVP (annonces, recherche, signalement, modération) correspond bien à ce modèle.</w:t>
      </w:r>
    </w:p>
    <w:p>
      <w:pPr>
        <w:spacing w:after="110" w:line="300"/>
      </w:pPr>
      <w:r>
        <w:rPr>
          <w:rFonts w:ascii="Arial" w:cs="Arial" w:eastAsia="Arial" w:hAnsi="Arial"/>
          <w:b/>
          <w:bCs/>
          <w:color w:val="1F2A24"/>
          <w:sz w:val="21"/>
          <w:szCs w:val="21"/>
        </w:rPr>
        <w:t xml:space="preserve">Condition :</w:t>
      </w:r>
      <w:r>
        <w:rPr>
          <w:rFonts w:ascii="Arial" w:cs="Arial" w:eastAsia="Arial" w:hAnsi="Arial"/>
          <w:color w:val="1F2A24"/>
          <w:sz w:val="21"/>
          <w:szCs w:val="21"/>
        </w:rPr>
        <w:t xml:space="preserve"> l’équipe sait ou peut rapidement travailler en Python. Si elle maîtrise surtout PHP, l’option B est équivalente en logique et devient préférable. L’option C n’est pas recommandée pour le pilote à cause du coût récurrent potentiel et du couplage fournisseur, sauf compétence forte de l’équipe sur ce socle.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37C30"/>
          <w:sz w:val="25"/>
          <w:szCs w:val="25"/>
        </w:rPr>
        <w:t xml:space="preserve">4.1 Composants proposés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9"/>
        <w:gridCol w:w="6024"/>
        <w:gridCol w:w="1405"/>
      </w:tblGrid>
      <w:tr>
        <w:trPr>
          <w:tblHeader/>
        </w:trPr>
        <w:tc>
          <w:tcPr>
            <w:tcW w:type="dxa" w:w="2209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shd w:fill="0B5A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Couche</w:t>
            </w:r>
          </w:p>
        </w:tc>
        <w:tc>
          <w:tcPr>
            <w:tcW w:type="dxa" w:w="6024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shd w:fill="0B5A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Choix proposé</w:t>
            </w:r>
          </w:p>
        </w:tc>
        <w:tc>
          <w:tcPr>
            <w:tcW w:type="dxa" w:w="1405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shd w:fill="0B5A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Langage / framework</w:t>
            </w:r>
          </w:p>
        </w:tc>
        <w:tc>
          <w:tcPr>
            <w:tcW w:type="dxa" w:w="6024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Python + Django (version LTS en vigueur au démarrage, à vérifier)</w:t>
            </w:r>
          </w:p>
        </w:tc>
        <w:tc>
          <w:tcPr>
            <w:tcW w:type="dxa" w:w="1405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Proposé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Base de données</w:t>
            </w:r>
          </w:p>
        </w:tc>
        <w:tc>
          <w:tcPr>
            <w:tcW w:type="dxa" w:w="6024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405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Proposé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Interface</w:t>
            </w:r>
          </w:p>
        </w:tc>
        <w:tc>
          <w:tcPr>
            <w:tcW w:type="dxa" w:w="6024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Gabarits serveur, CSS basé sur soutrali-tokens.css, JavaScript léger ; pas de framework front lourd</w:t>
            </w:r>
          </w:p>
        </w:tc>
        <w:tc>
          <w:tcPr>
            <w:tcW w:type="dxa" w:w="1405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Proposé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Recherche</w:t>
            </w:r>
          </w:p>
        </w:tc>
        <w:tc>
          <w:tcPr>
            <w:tcW w:type="dxa" w:w="6024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Recherche texte native de la base pour le MVP ; moteur dédié seulement si le besoin est démontré</w:t>
            </w:r>
          </w:p>
        </w:tc>
        <w:tc>
          <w:tcPr>
            <w:tcW w:type="dxa" w:w="1405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Proposé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Authentification</w:t>
            </w:r>
          </w:p>
        </w:tc>
        <w:tc>
          <w:tcPr>
            <w:tcW w:type="dxa" w:w="6024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Module intégré ; identifiant e-mail ou téléphone selon D-04 ; limitation des tentatives</w:t>
            </w:r>
          </w:p>
        </w:tc>
        <w:tc>
          <w:tcPr>
            <w:tcW w:type="dxa" w:w="1405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Proposé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Vérification par SMS</w:t>
            </w:r>
          </w:p>
        </w:tc>
        <w:tc>
          <w:tcPr>
            <w:tcW w:type="dxa" w:w="6024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Fournisseur à choisir seulement si D-04 retient le téléphone ; coût et couverture opérateurs en Côte d’Ivoire à vérifier</w:t>
            </w:r>
          </w:p>
        </w:tc>
        <w:tc>
          <w:tcPr>
            <w:tcW w:type="dxa" w:w="1405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Ouvert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Fichiers / images</w:t>
            </w:r>
          </w:p>
        </w:tc>
        <w:tc>
          <w:tcPr>
            <w:tcW w:type="dxa" w:w="6024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Stockage objet ou disque ; redimensionnement à l’envoi ; images facultatives dans le MVP</w:t>
            </w:r>
          </w:p>
        </w:tc>
        <w:tc>
          <w:tcPr>
            <w:tcW w:type="dxa" w:w="1405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Ouvert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Tests</w:t>
            </w:r>
          </w:p>
        </w:tc>
        <w:tc>
          <w:tcPr>
            <w:tcW w:type="dxa" w:w="6024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Tests automatisés sur les règles métier critiques (RM-01, RM-02, RM-05, RM-12, RM-15, RM-16)</w:t>
            </w:r>
          </w:p>
        </w:tc>
        <w:tc>
          <w:tcPr>
            <w:tcW w:type="dxa" w:w="1405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Proposé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Intégration continue</w:t>
            </w:r>
          </w:p>
        </w:tc>
        <w:tc>
          <w:tcPr>
            <w:tcW w:type="dxa" w:w="6024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Exécution des tests et des contrôles à chaque proposition de modification</w:t>
            </w:r>
          </w:p>
        </w:tc>
        <w:tc>
          <w:tcPr>
            <w:tcW w:type="dxa" w:w="1405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Proposé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Sauvegardes</w:t>
            </w:r>
          </w:p>
        </w:tc>
        <w:tc>
          <w:tcPr>
            <w:tcW w:type="dxa" w:w="6024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Sauvegardes automatiques de la base et procédure de restauration testée (NF-03)</w:t>
            </w:r>
          </w:p>
        </w:tc>
        <w:tc>
          <w:tcPr>
            <w:tcW w:type="dxa" w:w="1405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Proposé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Journalisation</w:t>
            </w:r>
          </w:p>
        </w:tc>
        <w:tc>
          <w:tcPr>
            <w:tcW w:type="dxa" w:w="6024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Actions de modération et événements de sécurité (NF-10), sans données sensibles inutiles</w:t>
            </w:r>
          </w:p>
        </w:tc>
        <w:tc>
          <w:tcPr>
            <w:tcW w:type="dxa" w:w="1405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Proposé</w:t>
            </w:r>
          </w:p>
        </w:tc>
      </w:tr>
    </w:tbl>
    <w:p>
      <w:pPr>
        <w:pStyle w:val="Heading1"/>
        <w:pBdr>
          <w:bottom w:val="single" w:color="FE7402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0B5A2A"/>
          <w:sz w:val="32"/>
          <w:szCs w:val="32"/>
        </w:rPr>
        <w:t xml:space="preserve">5. Architecture logique</w:t>
      </w:r>
    </w:p>
    <w:p>
      <w:pPr>
        <w:spacing w:after="110" w:line="30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Monolithe modulaire : une application web, une base. Modules alignés sur le modèle UML : comptes, annonces, référentiels (catégories, communes), contacts/interactions, signalements et modération.</w:t>
      </w:r>
    </w:p>
    <w:p>
      <w:pPr>
        <w:shd w:fill="F3F6F4" w:val="clear"/>
        <w:spacing w:after="0" w:line="240"/>
        <w:ind w:left="120"/>
      </w:pPr>
      <w:r>
        <w:rPr>
          <w:rFonts w:ascii="Consolas" w:cs="Consolas" w:eastAsia="Consolas" w:hAnsi="Consolas"/>
          <w:color w:val="1F2A24"/>
          <w:sz w:val="17"/>
          <w:szCs w:val="17"/>
        </w:rPr>
        <w:t xml:space="preserve">@startuml</w:t>
      </w:r>
    </w:p>
    <w:p>
      <w:pPr>
        <w:shd w:fill="F3F6F4" w:val="clear"/>
        <w:spacing w:after="0" w:line="240"/>
        <w:ind w:left="120"/>
      </w:pPr>
      <w:r>
        <w:rPr>
          <w:rFonts w:ascii="Consolas" w:cs="Consolas" w:eastAsia="Consolas" w:hAnsi="Consolas"/>
          <w:color w:val="1F2A24"/>
          <w:sz w:val="17"/>
          <w:szCs w:val="17"/>
        </w:rPr>
        <w:t xml:space="preserve">actor Visiteur</w:t>
      </w:r>
    </w:p>
    <w:p>
      <w:pPr>
        <w:shd w:fill="F3F6F4" w:val="clear"/>
        <w:spacing w:after="0" w:line="240"/>
        <w:ind w:left="120"/>
      </w:pPr>
      <w:r>
        <w:rPr>
          <w:rFonts w:ascii="Consolas" w:cs="Consolas" w:eastAsia="Consolas" w:hAnsi="Consolas"/>
          <w:color w:val="1F2A24"/>
          <w:sz w:val="17"/>
          <w:szCs w:val="17"/>
        </w:rPr>
        <w:t xml:space="preserve">actor Utilisateur</w:t>
      </w:r>
    </w:p>
    <w:p>
      <w:pPr>
        <w:shd w:fill="F3F6F4" w:val="clear"/>
        <w:spacing w:after="0" w:line="240"/>
        <w:ind w:left="120"/>
      </w:pPr>
      <w:r>
        <w:rPr>
          <w:rFonts w:ascii="Consolas" w:cs="Consolas" w:eastAsia="Consolas" w:hAnsi="Consolas"/>
          <w:color w:val="1F2A24"/>
          <w:sz w:val="17"/>
          <w:szCs w:val="17"/>
        </w:rPr>
        <w:t xml:space="preserve">actor "Modérateur / Admin" as Mod</w:t>
      </w:r>
    </w:p>
    <w:p>
      <w:pPr>
        <w:shd w:fill="F3F6F4" w:val="clear"/>
        <w:spacing w:after="0" w:line="240"/>
        <w:ind w:left="120"/>
      </w:pPr>
      <w:r>
        <w:rPr>
          <w:rFonts w:ascii="Consolas" w:cs="Consolas" w:eastAsia="Consolas" w:hAnsi="Consolas"/>
          <w:color w:val="1F2A24"/>
          <w:sz w:val="17"/>
          <w:szCs w:val="17"/>
        </w:rPr>
        <w:t xml:space="preserve">node "Navigateur mobile ou ordinateur" as Nav</w:t>
      </w:r>
    </w:p>
    <w:p>
      <w:pPr>
        <w:shd w:fill="F3F6F4" w:val="clear"/>
        <w:spacing w:after="0" w:line="240"/>
        <w:ind w:left="120"/>
      </w:pPr>
      <w:r>
        <w:rPr>
          <w:rFonts w:ascii="Consolas" w:cs="Consolas" w:eastAsia="Consolas" w:hAnsi="Consolas"/>
          <w:color w:val="1F2A24"/>
          <w:sz w:val="17"/>
          <w:szCs w:val="17"/>
        </w:rPr>
        <w:t xml:space="preserve">node "Serveur d'application (monolithe)" {</w:t>
      </w:r>
    </w:p>
    <w:p>
      <w:pPr>
        <w:shd w:fill="F3F6F4" w:val="clear"/>
        <w:spacing w:after="0" w:line="240"/>
        <w:ind w:left="120"/>
      </w:pPr>
      <w:r>
        <w:rPr>
          <w:rFonts w:ascii="Consolas" w:cs="Consolas" w:eastAsia="Consolas" w:hAnsi="Consolas"/>
          <w:color w:val="1F2A24"/>
          <w:sz w:val="17"/>
          <w:szCs w:val="17"/>
        </w:rPr>
        <w:t xml:space="preserve">  component "Comptes et droits" as A</w:t>
      </w:r>
    </w:p>
    <w:p>
      <w:pPr>
        <w:shd w:fill="F3F6F4" w:val="clear"/>
        <w:spacing w:after="0" w:line="240"/>
        <w:ind w:left="120"/>
      </w:pPr>
      <w:r>
        <w:rPr>
          <w:rFonts w:ascii="Consolas" w:cs="Consolas" w:eastAsia="Consolas" w:hAnsi="Consolas"/>
          <w:color w:val="1F2A24"/>
          <w:sz w:val="17"/>
          <w:szCs w:val="17"/>
        </w:rPr>
        <w:t xml:space="preserve">  component "Annonces et recherche" as B</w:t>
      </w:r>
    </w:p>
    <w:p>
      <w:pPr>
        <w:shd w:fill="F3F6F4" w:val="clear"/>
        <w:spacing w:after="0" w:line="240"/>
        <w:ind w:left="120"/>
      </w:pPr>
      <w:r>
        <w:rPr>
          <w:rFonts w:ascii="Consolas" w:cs="Consolas" w:eastAsia="Consolas" w:hAnsi="Consolas"/>
          <w:color w:val="1F2A24"/>
          <w:sz w:val="17"/>
          <w:szCs w:val="17"/>
        </w:rPr>
        <w:t xml:space="preserve">  component "Référentiels" as C</w:t>
      </w:r>
    </w:p>
    <w:p>
      <w:pPr>
        <w:shd w:fill="F3F6F4" w:val="clear"/>
        <w:spacing w:after="0" w:line="240"/>
        <w:ind w:left="120"/>
      </w:pPr>
      <w:r>
        <w:rPr>
          <w:rFonts w:ascii="Consolas" w:cs="Consolas" w:eastAsia="Consolas" w:hAnsi="Consolas"/>
          <w:color w:val="1F2A24"/>
          <w:sz w:val="17"/>
          <w:szCs w:val="17"/>
        </w:rPr>
        <w:t xml:space="preserve">  component "Contacts" as D</w:t>
      </w:r>
    </w:p>
    <w:p>
      <w:pPr>
        <w:shd w:fill="F3F6F4" w:val="clear"/>
        <w:spacing w:after="0" w:line="240"/>
        <w:ind w:left="120"/>
      </w:pPr>
      <w:r>
        <w:rPr>
          <w:rFonts w:ascii="Consolas" w:cs="Consolas" w:eastAsia="Consolas" w:hAnsi="Consolas"/>
          <w:color w:val="1F2A24"/>
          <w:sz w:val="17"/>
          <w:szCs w:val="17"/>
        </w:rPr>
        <w:t xml:space="preserve">  component "Signalements et modération" as E</w:t>
      </w:r>
    </w:p>
    <w:p>
      <w:pPr>
        <w:shd w:fill="F3F6F4" w:val="clear"/>
        <w:spacing w:after="0" w:line="240"/>
        <w:ind w:left="120"/>
      </w:pPr>
      <w:r>
        <w:rPr>
          <w:rFonts w:ascii="Consolas" w:cs="Consolas" w:eastAsia="Consolas" w:hAnsi="Consolas"/>
          <w:color w:val="1F2A24"/>
          <w:sz w:val="17"/>
          <w:szCs w:val="17"/>
        </w:rPr>
        <w:t xml:space="preserve">}</w:t>
      </w:r>
    </w:p>
    <w:p>
      <w:pPr>
        <w:shd w:fill="F3F6F4" w:val="clear"/>
        <w:spacing w:after="0" w:line="240"/>
        <w:ind w:left="120"/>
      </w:pPr>
      <w:r>
        <w:rPr>
          <w:rFonts w:ascii="Consolas" w:cs="Consolas" w:eastAsia="Consolas" w:hAnsi="Consolas"/>
          <w:color w:val="1F2A24"/>
          <w:sz w:val="17"/>
          <w:szCs w:val="17"/>
        </w:rPr>
        <w:t xml:space="preserve">database "PostgreSQL" as DB</w:t>
      </w:r>
    </w:p>
    <w:p>
      <w:pPr>
        <w:shd w:fill="F3F6F4" w:val="clear"/>
        <w:spacing w:after="0" w:line="240"/>
        <w:ind w:left="120"/>
      </w:pPr>
      <w:r>
        <w:rPr>
          <w:rFonts w:ascii="Consolas" w:cs="Consolas" w:eastAsia="Consolas" w:hAnsi="Consolas"/>
          <w:color w:val="1F2A24"/>
          <w:sz w:val="17"/>
          <w:szCs w:val="17"/>
        </w:rPr>
        <w:t xml:space="preserve">Visiteur --&gt; Nav</w:t>
      </w:r>
    </w:p>
    <w:p>
      <w:pPr>
        <w:shd w:fill="F3F6F4" w:val="clear"/>
        <w:spacing w:after="0" w:line="240"/>
        <w:ind w:left="120"/>
      </w:pPr>
      <w:r>
        <w:rPr>
          <w:rFonts w:ascii="Consolas" w:cs="Consolas" w:eastAsia="Consolas" w:hAnsi="Consolas"/>
          <w:color w:val="1F2A24"/>
          <w:sz w:val="17"/>
          <w:szCs w:val="17"/>
        </w:rPr>
        <w:t xml:space="preserve">Utilisateur --&gt; Nav</w:t>
      </w:r>
    </w:p>
    <w:p>
      <w:pPr>
        <w:shd w:fill="F3F6F4" w:val="clear"/>
        <w:spacing w:after="0" w:line="240"/>
        <w:ind w:left="120"/>
      </w:pPr>
      <w:r>
        <w:rPr>
          <w:rFonts w:ascii="Consolas" w:cs="Consolas" w:eastAsia="Consolas" w:hAnsi="Consolas"/>
          <w:color w:val="1F2A24"/>
          <w:sz w:val="17"/>
          <w:szCs w:val="17"/>
        </w:rPr>
        <w:t xml:space="preserve">Mod --&gt; Nav</w:t>
      </w:r>
    </w:p>
    <w:p>
      <w:pPr>
        <w:shd w:fill="F3F6F4" w:val="clear"/>
        <w:spacing w:after="0" w:line="240"/>
        <w:ind w:left="120"/>
      </w:pPr>
      <w:r>
        <w:rPr>
          <w:rFonts w:ascii="Consolas" w:cs="Consolas" w:eastAsia="Consolas" w:hAnsi="Consolas"/>
          <w:color w:val="1F2A24"/>
          <w:sz w:val="17"/>
          <w:szCs w:val="17"/>
        </w:rPr>
        <w:t xml:space="preserve">Nav --&gt; A : HTTPS</w:t>
      </w:r>
    </w:p>
    <w:p>
      <w:pPr>
        <w:shd w:fill="F3F6F4" w:val="clear"/>
        <w:spacing w:after="0" w:line="240"/>
        <w:ind w:left="120"/>
      </w:pPr>
      <w:r>
        <w:rPr>
          <w:rFonts w:ascii="Consolas" w:cs="Consolas" w:eastAsia="Consolas" w:hAnsi="Consolas"/>
          <w:color w:val="1F2A24"/>
          <w:sz w:val="17"/>
          <w:szCs w:val="17"/>
        </w:rPr>
        <w:t xml:space="preserve">Nav --&gt; B</w:t>
      </w:r>
    </w:p>
    <w:p>
      <w:pPr>
        <w:shd w:fill="F3F6F4" w:val="clear"/>
        <w:spacing w:after="0" w:line="240"/>
        <w:ind w:left="120"/>
      </w:pPr>
      <w:r>
        <w:rPr>
          <w:rFonts w:ascii="Consolas" w:cs="Consolas" w:eastAsia="Consolas" w:hAnsi="Consolas"/>
          <w:color w:val="1F2A24"/>
          <w:sz w:val="17"/>
          <w:szCs w:val="17"/>
        </w:rPr>
        <w:t xml:space="preserve">Nav --&gt; D</w:t>
      </w:r>
    </w:p>
    <w:p>
      <w:pPr>
        <w:shd w:fill="F3F6F4" w:val="clear"/>
        <w:spacing w:after="0" w:line="240"/>
        <w:ind w:left="120"/>
      </w:pPr>
      <w:r>
        <w:rPr>
          <w:rFonts w:ascii="Consolas" w:cs="Consolas" w:eastAsia="Consolas" w:hAnsi="Consolas"/>
          <w:color w:val="1F2A24"/>
          <w:sz w:val="17"/>
          <w:szCs w:val="17"/>
        </w:rPr>
        <w:t xml:space="preserve">Nav --&gt; E</w:t>
      </w:r>
    </w:p>
    <w:p>
      <w:pPr>
        <w:shd w:fill="F3F6F4" w:val="clear"/>
        <w:spacing w:after="0" w:line="240"/>
        <w:ind w:left="120"/>
      </w:pPr>
      <w:r>
        <w:rPr>
          <w:rFonts w:ascii="Consolas" w:cs="Consolas" w:eastAsia="Consolas" w:hAnsi="Consolas"/>
          <w:color w:val="1F2A24"/>
          <w:sz w:val="17"/>
          <w:szCs w:val="17"/>
        </w:rPr>
        <w:t xml:space="preserve">A --&gt; DB</w:t>
      </w:r>
    </w:p>
    <w:p>
      <w:pPr>
        <w:shd w:fill="F3F6F4" w:val="clear"/>
        <w:spacing w:after="0" w:line="240"/>
        <w:ind w:left="120"/>
      </w:pPr>
      <w:r>
        <w:rPr>
          <w:rFonts w:ascii="Consolas" w:cs="Consolas" w:eastAsia="Consolas" w:hAnsi="Consolas"/>
          <w:color w:val="1F2A24"/>
          <w:sz w:val="17"/>
          <w:szCs w:val="17"/>
        </w:rPr>
        <w:t xml:space="preserve">B --&gt; DB</w:t>
      </w:r>
    </w:p>
    <w:p>
      <w:pPr>
        <w:shd w:fill="F3F6F4" w:val="clear"/>
        <w:spacing w:after="0" w:line="240"/>
        <w:ind w:left="120"/>
      </w:pPr>
      <w:r>
        <w:rPr>
          <w:rFonts w:ascii="Consolas" w:cs="Consolas" w:eastAsia="Consolas" w:hAnsi="Consolas"/>
          <w:color w:val="1F2A24"/>
          <w:sz w:val="17"/>
          <w:szCs w:val="17"/>
        </w:rPr>
        <w:t xml:space="preserve">C --&gt; DB</w:t>
      </w:r>
    </w:p>
    <w:p>
      <w:pPr>
        <w:shd w:fill="F3F6F4" w:val="clear"/>
        <w:spacing w:after="0" w:line="240"/>
        <w:ind w:left="120"/>
      </w:pPr>
      <w:r>
        <w:rPr>
          <w:rFonts w:ascii="Consolas" w:cs="Consolas" w:eastAsia="Consolas" w:hAnsi="Consolas"/>
          <w:color w:val="1F2A24"/>
          <w:sz w:val="17"/>
          <w:szCs w:val="17"/>
        </w:rPr>
        <w:t xml:space="preserve">D --&gt; DB</w:t>
      </w:r>
    </w:p>
    <w:p>
      <w:pPr>
        <w:shd w:fill="F3F6F4" w:val="clear"/>
        <w:spacing w:after="0" w:line="240"/>
        <w:ind w:left="120"/>
      </w:pPr>
      <w:r>
        <w:rPr>
          <w:rFonts w:ascii="Consolas" w:cs="Consolas" w:eastAsia="Consolas" w:hAnsi="Consolas"/>
          <w:color w:val="1F2A24"/>
          <w:sz w:val="17"/>
          <w:szCs w:val="17"/>
        </w:rPr>
        <w:t xml:space="preserve">E --&gt; DB</w:t>
      </w:r>
    </w:p>
    <w:p>
      <w:pPr>
        <w:shd w:fill="F3F6F4" w:val="clear"/>
        <w:spacing w:after="0" w:line="240"/>
        <w:ind w:left="120"/>
      </w:pPr>
      <w:r>
        <w:rPr>
          <w:rFonts w:ascii="Consolas" w:cs="Consolas" w:eastAsia="Consolas" w:hAnsi="Consolas"/>
          <w:color w:val="1F2A24"/>
          <w:sz w:val="17"/>
          <w:szCs w:val="17"/>
        </w:rPr>
        <w:t xml:space="preserve">@enduml</w:t>
      </w:r>
    </w:p>
    <w:p>
      <w:pPr>
        <w:pStyle w:val="Heading1"/>
        <w:pBdr>
          <w:bottom w:val="single" w:color="FE7402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0B5A2A"/>
          <w:sz w:val="32"/>
          <w:szCs w:val="32"/>
        </w:rPr>
        <w:t xml:space="preserve">6. Sécurité et qualité (exigences à traduire en tâches)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HTTPS en production ; mots de passe hachés avec une méthode reconnue ; limitation des tentatives de connexion.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Contrôle d’accès vérifié côté serveur pour chaque action (propriétaire, modérateur, administrateur).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Validation et échappement des entrées ; protections contre XSS et CSRF fournies par le framework, à ne pas désactiver.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Coordonnées jamais exposées aux visiteurs non connectés (RM-05) ; tests dédiés.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Secrets hors du dépôt ; variables d’environnement centralisées.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Revue de sécurité avant le pilote ; aucune affirmation de conformité juridique tant qu’elle n’est pas validée (D-10).</w:t>
      </w:r>
    </w:p>
    <w:p>
      <w:pPr>
        <w:pStyle w:val="Heading1"/>
        <w:pBdr>
          <w:bottom w:val="single" w:color="FE7402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0B5A2A"/>
          <w:sz w:val="32"/>
          <w:szCs w:val="32"/>
        </w:rPr>
        <w:t xml:space="preserve">7. Hébergement</w:t>
      </w:r>
    </w:p>
    <w:p>
      <w:pPr>
        <w:spacing w:after="110" w:line="300"/>
      </w:pPr>
      <w:r>
        <w:rPr>
          <w:rFonts w:ascii="Arial" w:cs="Arial" w:eastAsia="Arial" w:hAnsi="Arial"/>
          <w:b/>
          <w:bCs/>
          <w:color w:val="1F2A24"/>
          <w:sz w:val="21"/>
          <w:szCs w:val="21"/>
        </w:rPr>
        <w:t xml:space="preserve">Ouvert (D-09).</w:t>
      </w:r>
      <w:r>
        <w:rPr>
          <w:rFonts w:ascii="Arial" w:cs="Arial" w:eastAsia="Arial" w:hAnsi="Arial"/>
          <w:color w:val="1F2A24"/>
          <w:sz w:val="21"/>
          <w:szCs w:val="21"/>
        </w:rPr>
        <w:t xml:space="preserve"> Trois familles d’options à comparer une fois le budget connu : plateforme d’application gérée, serveur privé virtuel administré par l’équipe, hébergeur local. Critères : coût mensuel, latence depuis Abidjan, région des données, sauvegardes, compétences d’exploitation, procédure de retour arrière. Les prix ne sont pas donnés ici : ils seront relevés auprès des fournisseurs à la date de décision.</w:t>
      </w:r>
    </w:p>
    <w:p>
      <w:pPr>
        <w:pStyle w:val="Heading1"/>
        <w:pBdr>
          <w:bottom w:val="single" w:color="FE7402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0B5A2A"/>
          <w:sz w:val="32"/>
          <w:szCs w:val="32"/>
        </w:rPr>
        <w:t xml:space="preserve">8. Environnement collaboratif (aperçu pour la Phase 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9"/>
        <w:gridCol w:w="4016"/>
        <w:gridCol w:w="3413"/>
      </w:tblGrid>
      <w:tr>
        <w:trPr>
          <w:tblHeader/>
        </w:trPr>
        <w:tc>
          <w:tcPr>
            <w:tcW w:type="dxa" w:w="2209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shd w:fill="0B5A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Besoin</w:t>
            </w:r>
          </w:p>
        </w:tc>
        <w:tc>
          <w:tcPr>
            <w:tcW w:type="dxa" w:w="4016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shd w:fill="0B5A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Piste</w:t>
            </w:r>
          </w:p>
        </w:tc>
        <w:tc>
          <w:tcPr>
            <w:tcW w:type="dxa" w:w="3413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shd w:fill="0B5A2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À décider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Gestion du code</w:t>
            </w:r>
          </w:p>
        </w:tc>
        <w:tc>
          <w:tcPr>
            <w:tcW w:type="dxa" w:w="4016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Dépôt Git hébergé (GitHub ou GitLab) avec branches et revues</w:t>
            </w:r>
          </w:p>
        </w:tc>
        <w:tc>
          <w:tcPr>
            <w:tcW w:type="dxa" w:w="3413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Plateforme unique pour le code, la CI et le suivi, ou outils séparés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Backlog et suivi</w:t>
            </w:r>
          </w:p>
        </w:tc>
        <w:tc>
          <w:tcPr>
            <w:tcW w:type="dxa" w:w="4016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Tableau de projet du dépôt (GitHub Projects ou tableaux GitLab)</w:t>
            </w:r>
          </w:p>
        </w:tc>
        <w:tc>
          <w:tcPr>
            <w:tcW w:type="dxa" w:w="3413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Outil de suivi principal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Documentation vivante</w:t>
            </w:r>
          </w:p>
        </w:tc>
        <w:tc>
          <w:tcPr>
            <w:tcW w:type="dxa" w:w="4016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Notion ou dépôt de documents Markdown</w:t>
            </w:r>
          </w:p>
        </w:tc>
        <w:tc>
          <w:tcPr>
            <w:tcW w:type="dxa" w:w="3413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Source de vérité unique ; recommandation : documents de référence versionnés dans le dépôt, Notion pour la coordination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Travail avec l’IA</w:t>
            </w:r>
          </w:p>
        </w:tc>
        <w:tc>
          <w:tcPr>
            <w:tcW w:type="dxa" w:w="4016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Projet Claude contenant le contexte, la charte, le CDC et la stack ; README.md mis à jour à chaque séance</w:t>
            </w:r>
          </w:p>
        </w:tc>
        <w:tc>
          <w:tcPr>
            <w:tcW w:type="dxa" w:w="3413"/>
            <w:tcBorders>
              <w:top w:val="single" w:color="DCE5DF" w:sz="4"/>
              <w:left w:val="single" w:color="DCE5DF" w:sz="4"/>
              <w:bottom w:val="single" w:color="DCE5DF" w:sz="4"/>
              <w:right w:val="single" w:color="DCE5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Arial" w:cs="Arial" w:eastAsia="Arial" w:hAnsi="Arial"/>
                <w:color w:val="1F2A24"/>
                <w:sz w:val="19"/>
                <w:szCs w:val="19"/>
              </w:rPr>
              <w:t xml:space="preserve">Règles de relecture humaine avant fusion</w:t>
            </w:r>
          </w:p>
        </w:tc>
      </w:tr>
    </w:tbl>
    <w:p>
      <w:pPr>
        <w:spacing w:after="110" w:line="30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Cette section sera développée en Phase 5 avec une comparaison complète.</w:t>
      </w:r>
    </w:p>
    <w:p>
      <w:pPr>
        <w:pStyle w:val="Heading1"/>
        <w:pBdr>
          <w:bottom w:val="single" w:color="FE7402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0B5A2A"/>
          <w:sz w:val="32"/>
          <w:szCs w:val="32"/>
        </w:rPr>
        <w:t xml:space="preserve">9. Questions ouvertes pour trancher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Quelles compétences techniques l’équipe possède-t-elle (Python, PHP, JavaScript) et combien de développeurs ?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Quel budget mensuel d’exploitation est envisageable, et quelle préférence d’hébergement (local, étranger) ?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Inscription par téléphone ou e-mail (D-04) ? Les SMS sont-ils budgétisés ?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Images dans les annonces dès le MVP, ou texte seul au départ ?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F2A24"/>
          <w:sz w:val="21"/>
          <w:szCs w:val="21"/>
        </w:rPr>
        <w:t xml:space="preserve">Existe-t-il des contraintes imposées par la MOA sur la technologie ou l’hébergement ?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62"/>
        <w:sz w:val="16"/>
        <w:szCs w:val="16"/>
      </w:rPr>
      <w:t xml:space="preserve">SOUTRALI — L’entraide à porter de main   |   Stack technique v0.1   |   page </w:t>
    </w:r>
    <w:r>
      <w:rPr>
        <w:rFonts w:ascii="Arial" w:cs="Arial" w:eastAsia="Arial" w:hAnsi="Arial"/>
        <w:color w:val="5A6B6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0655eb6d4d6301aa38b556b0e1cc3470a81e0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Soutrali – Stack technique</dc:title>
  <dc:creator>Soutrali</dc:creator>
  <cp:lastModifiedBy>Un-named</cp:lastModifiedBy>
  <cp:revision>1</cp:revision>
  <dcterms:created xsi:type="dcterms:W3CDTF">2026-10-20T07:01:55.902Z</dcterms:created>
  <dcterms:modified xsi:type="dcterms:W3CDTF">2026-10-20T07:01:55.902Z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