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5E8B"/>
          <w:sz w:val="52"/>
          <w:szCs w:val="52"/>
        </w:rPr>
        <w:t xml:space="preserve">中医药精准诊疗与科研一体化平台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技术架构方案文档（优化版）</w:t>
      </w:r>
    </w:p>
    <w:p>
      <w:pPr>
        <w:pBdr>
          <w:bottom w:val="single" w:color="2E86C1" w:sz="6" w:space="1"/>
        </w:pBdr>
        <w:spacing w:after="200" w:before="0"/>
      </w:pPr>
    </w:p>
    <w:p>
      <w:pPr>
        <w:spacing w:after="80" w:before="200"/>
      </w:pPr>
    </w:p>
    <w:p>
      <w:pPr>
        <w:jc w:val="center"/>
      </w:pPr>
      <w:r>
        <w:rPr>
          <w:rFonts w:ascii="Arial" w:cs="Arial" w:eastAsia="Arial" w:hAnsi="Arial"/>
          <w:color w:val="555577"/>
          <w:sz w:val="20"/>
          <w:szCs w:val="20"/>
        </w:rPr>
        <w:t xml:space="preserve">版本：V2.0    |    更新时间：2026年4月28日    |    适用阶段：MVP 开发期</w:t>
      </w:r>
    </w:p>
    <w:p>
      <w:pPr>
        <w:spacing w:after="8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8B"/>
          <w:sz w:val="34"/>
          <w:szCs w:val="34"/>
        </w:rPr>
        <w:t xml:space="preserve">0. 本版本相对原方案的核心变更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本文档在豆包原始方案的基础上进行了系统性优化，以下是主要变更点：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原方案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本文档（优化版）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变更原因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create-react-app + React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15 + React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CRA 已被 React 官方废弃，不再维护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pgvector（str() 写法）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pgvector + 正确适配器写法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原写法有 bug，embedding 不能用 str() 转换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DeepSeek Embedding（通用）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PubMedBERT（医学专用）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通用 Embedding 对中医文献召回率低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全部任务同步执行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Celery + Redis 异步任务队列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药理学分析耗时，同步 HTTP 会超时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单一 LLM（DeepSeek）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DeepSeek + Claude 双模型路由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复杂医学推理需要更强的推理能力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TCMID API（不稳定）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HERB 数据库 + SymMap 2.0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TCMID 公开 API 不稳定，数据较旧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DAVID API（已关闭）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gseapy 本地富集分析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DAVID 已关闭公开 API 访问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仅 PostgreSQL + Neo4j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新增 Redis 缓存层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避免重复计算，节省 API 费用</w:t>
            </w:r>
          </w:p>
        </w:tc>
      </w:tr>
    </w:tbl>
    <w:p>
      <w:pPr>
        <w:spacing w:after="8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8B"/>
          <w:sz w:val="34"/>
          <w:szCs w:val="34"/>
        </w:rPr>
        <w:t xml:space="preserve">一、产品定位与核心价值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一句话定位</w:t>
      </w:r>
    </w:p>
    <w:p>
      <w:pPr>
        <w:pBdr>
          <w:left w:val="thick" w:color="2E86C1" w:sz="12" w:space="10"/>
        </w:pBdr>
        <w:shd w:fill="D6EAF8" w:val="clear"/>
        <w:spacing w:after="80" w:before="80"/>
        <w:ind w:left="360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为特应性皮炎领域的医生和科研人员提供</w:t>
      </w:r>
      <w:r>
        <w:rPr>
          <w:rFonts w:ascii="Arial" w:cs="Arial" w:eastAsia="Arial" w:hAnsi="Arial"/>
          <w:b/>
          <w:bCs/>
          <w:color w:val="1B5E8B"/>
          <w:sz w:val="24"/>
          <w:szCs w:val="24"/>
        </w:rPr>
        <w:t xml:space="preserve">基于肠-脑-皮肤轴的中西医结合文献检索、网络药理学分析和精准诊疗辅助</w:t>
      </w:r>
      <w:r>
        <w:rPr>
          <w:rFonts w:ascii="Arial" w:cs="Arial" w:eastAsia="Arial" w:hAnsi="Arial"/>
          <w:color w:val="1A1A2E"/>
          <w:sz w:val="24"/>
          <w:szCs w:val="24"/>
        </w:rPr>
        <w:t xml:space="preserve">，打通「临床—科研—转化」全链条。</w:t>
      </w:r>
    </w:p>
    <w:p>
      <w:pPr>
        <w:spacing w:after="8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市场痛点与核心优势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市场核心痛点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你的独家不可复制优势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现有中医 AI 均为通用型，缺乏垂直病种深度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中西医结合专业背景，深耕特应性皮炎 / 肠-脑-皮肤轴研究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中医科研效率极低，文献检索和数据分析占 70% 以上时间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熟悉临床和科研全流程，精准把握医生和研究生的真实需求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中西医结合缺乏量化数据支撑，疗效难以客观评价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能将现代医学数据（菌群、免疫指标）与中医证型建立关联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全球无专门针对特应性皮炎的中西医结合 AI 工具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拥有临床资源和第一手研究数据，形成天然技术壁垒</w:t>
            </w:r>
          </w:p>
        </w:tc>
      </w:tr>
    </w:tbl>
    <w:p>
      <w:pPr>
        <w:spacing w:after="8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绝对不做的边界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❌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不做全病种覆盖：先只做特应性皮炎这一个病种，做深做透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❌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不做替代医生的诊断工具：只做辅助决策和科研工具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❌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不做面向普通患者的 C 端产品：先服务医生和科研人员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❌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不自己训练大模型：全部使用成熟 API 和开源模型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❌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不追求完美：先上线 MVP，再根据用户反馈快速迭代</w:t>
      </w:r>
    </w:p>
    <w:p>
      <w:pPr>
        <w:spacing w:after="8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8B"/>
          <w:sz w:val="34"/>
          <w:szCs w:val="34"/>
        </w:rPr>
        <w:t xml:space="preserve">二、优化后技术栈总览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以下是综合评估后推荐的完整技术栈，每项均给出了选型理由和原方案对比。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层次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替换原因 / 备注</w:t>
            </w:r>
          </w:p>
        </w:tc>
      </w:tr>
      <w:t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Next.js 15 + React + Ant Design 5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CRA 已废弃；Next.js 支持 SSR，SEO 更好，文件路由开发更快</w:t>
            </w:r>
          </w:p>
        </w:tc>
      </w:tr>
      <w:t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+ Pydantic v2（保留）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速度快，自动生成 API 文档，适合 AI 项目，无需替换</w:t>
            </w:r>
          </w:p>
        </w:tc>
      </w:tr>
      <w:t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关系型数据库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16 + pgvector（保留）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 阶段 5 万篇以内文献完全够用；修复 embedding 写法 bug</w:t>
            </w:r>
          </w:p>
        </w:tc>
      </w:tr>
      <w:t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缓存 / 消息队列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Redis 7（新增）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用于结果缓存 + Celery 任务队列，节省 API 费用</w:t>
            </w:r>
          </w:p>
        </w:tc>
      </w:tr>
      <w:t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异步任务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Celery 5（新增）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药理学分析耗时 2-10 分钟，不能放同步 HTTP 接口</w:t>
            </w:r>
          </w:p>
        </w:tc>
      </w:tr>
      <w:t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知识图谱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Neo4j Aura 免费云托管（保留）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无需本地部署，节省服务器内存</w:t>
            </w:r>
          </w:p>
        </w:tc>
      </w:tr>
      <w:t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RAG 框架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LlamaIndex（保留）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比 LangChain 更适合长文本文献处理</w:t>
            </w:r>
          </w:p>
        </w:tc>
      </w:tr>
      <w:t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Embedding 模型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PubMedBERT / BiomedBERT（替换）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医学专用模型；通用 DeepSeek Embedding 对中医文献召回率低</w:t>
            </w:r>
          </w:p>
        </w:tc>
      </w:tr>
      <w:t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主力 LLM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DeepSeek-chat（保留）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日常问答、代码生成，成本低</w:t>
            </w:r>
          </w:p>
        </w:tc>
      </w:tr>
      <w:t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复杂推理 LLM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Claude claude-sonnet-4-6（新增）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复杂医学推理、辨证分析，推理能力更强</w:t>
            </w:r>
          </w:p>
        </w:tc>
      </w:tr>
      <w:t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TCM 数据库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HERB + SymMap 2.0（替换）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替换不稳定的 TCMID API；HERB 含 6 万+ 草药记录</w:t>
            </w:r>
          </w:p>
        </w:tc>
      </w:tr>
      <w:t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富集分析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gseapy 本地运行（替换）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DAVID 已关闭公开 API；gseapy 本地运行，零成本无限调用</w:t>
            </w:r>
          </w:p>
        </w:tc>
      </w:tr>
      <w:t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反向代理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Nginx（新增）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SSL 终止、静态文件服务、负载均衡</w:t>
            </w:r>
          </w:p>
        </w:tc>
      </w:tr>
      <w:t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部署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Compose + 阿里云（保留）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一键部署，易于扩展</w:t>
            </w:r>
          </w:p>
        </w:tc>
      </w:tr>
    </w:tbl>
    <w:p>
      <w:pPr>
        <w:spacing w:after="8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8B"/>
          <w:sz w:val="34"/>
          <w:szCs w:val="34"/>
        </w:rPr>
        <w:t xml:space="preserve">三、系统架构设计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整体架构图（文字描述）</w:t>
      </w:r>
    </w:p>
    <w:p>
      <w:pPr>
        <w:spacing w:after="80" w:before="60"/>
      </w:pPr>
    </w:p>
    <w:p>
      <w:pPr>
        <w:shd w:fill="F4F6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用户浏览器 / 移动端
  ↓ HTTPS
Nginx 反向代理（SSL 终止 + 静态文件）
  ├── /api/* → FastAPI 后端（8000端口）
  └── /* → Next.js 前端（3000端口）
FastAPI 后端
  ├── 同步接口：文献检索、知识图谱查询
  ├── 异步接口：网络药理学分析（→ Celery 任务队列）
  └── Redis 缓存（热点查询结果）
数据层
  ├── PostgreSQL + pgvector（文献 + 向量）
  ├── Neo4j Aura（知识图谱）
  └── Redis（缓存 + 队列）
AI 层
  ├── PubMedBERT（本地 Embedding）
  ├── DeepSeek API（日常 LLM）
  └── Claude API（复杂推理）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LLM 双模型路由策略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根据任务复杂度自动路由到不同模型，兼顾成本与效果：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任务类型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路由模型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参考成本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文献关键词提取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DeepSeek-chat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极低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简单抽取任务，速度快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基础问答 / RAG 回答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DeepSeek-chat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低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大量请求，成本敏感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中医证候分析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8B"/>
                <w:sz w:val="20"/>
                <w:szCs w:val="20"/>
              </w:rPr>
              <w:t xml:space="preserve">Claude claude-sonnet-4-6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复杂推理，需要高准确率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网络药理学报告生成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8B"/>
                <w:sz w:val="20"/>
                <w:szCs w:val="20"/>
              </w:rPr>
              <w:t xml:space="preserve">Claude claude-sonnet-4-6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需要理解通路机制、生成连贯论述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代码调试 / 脚本生成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DeepSeek-chat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低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代码能力强，成本低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批量文献摘要处理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DeepSeek-chat（批量 API）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极低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量大，成本敏感</w:t>
            </w:r>
          </w:p>
        </w:tc>
      </w:tr>
    </w:tbl>
    <w:p>
      <w:pPr>
        <w:spacing w:after="8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8B"/>
          <w:sz w:val="34"/>
          <w:szCs w:val="34"/>
        </w:rPr>
        <w:t xml:space="preserve">四、原方案代码问题与修复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pgvector Embedding 写法（严重 Bug）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B241C"/>
          <w:sz w:val="22"/>
          <w:szCs w:val="22"/>
        </w:rPr>
        <w:t xml:space="preserve">原方案问题：</w:t>
      </w:r>
      <w:r>
        <w:rPr>
          <w:rFonts w:ascii="Arial" w:cs="Arial" w:eastAsia="Arial" w:hAnsi="Arial"/>
          <w:sz w:val="22"/>
          <w:szCs w:val="22"/>
        </w:rPr>
        <w:t xml:space="preserve"> 使用 </w:t>
      </w:r>
      <w:r>
        <w:rPr>
          <w:rFonts w:ascii="Courier New" w:cs="Courier New" w:eastAsia="Courier New" w:hAnsi="Courier New"/>
          <w:color w:val="1B5E8B"/>
          <w:sz w:val="20"/>
          <w:szCs w:val="20"/>
          <w:shd w:fill="EAF4FB" w:val="clear"/>
        </w:rPr>
        <w:t xml:space="preserve"> str(embedding) </w:t>
      </w:r>
      <w:r>
        <w:rPr>
          <w:rFonts w:ascii="Arial" w:cs="Arial" w:eastAsia="Arial" w:hAnsi="Arial"/>
          <w:sz w:val="22"/>
          <w:szCs w:val="22"/>
        </w:rPr>
        <w:t xml:space="preserve"> 将向量转为字符串存储，导致相似度查询完全失效。</w:t>
      </w:r>
    </w:p>
    <w:p>
      <w:pPr>
        <w:spacing w:after="80" w:before="60"/>
      </w:pPr>
    </w:p>
    <w:p>
      <w:pPr>
        <w:shd w:fill="FFF3F3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❌ 错误写法（原方案）
cur.execute(
    'INSERT INTO papers (title, content, embedding) VALUES (%s, %s, %s)',
    (title, chunk, str(embedding))  # 错误！向量变成字符串，查询失效
)</w:t>
      </w:r>
    </w:p>
    <w:p>
      <w:pPr>
        <w:spacing w:after="80" w:before="40"/>
      </w:pPr>
    </w:p>
    <w:p>
      <w:pPr>
        <w:shd w:fill="F0FF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E3A"/>
          <w:sz w:val="18"/>
          <w:szCs w:val="18"/>
        </w:rPr>
        <w:t xml:space="preserve"># ✅ 正确写法
from pgvector.psycopg2 import register_vector
import numpy as np
conn = psycopg2.connect(settings.postgres_url)
register_vector(conn)  # 必须注册！
cur.execute(
    'INSERT INTO papers (title, content, embedding) VALUES (%s, %s, %s)',
    (title, chunk, np.array(embedding))  # 直接传 numpy array
)</w:t>
      </w:r>
    </w:p>
    <w:p>
      <w:pPr>
        <w:spacing w:after="8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用 gseapy 替换已关闭的 DAVID API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DAVID API 已停止公开访问。使用 gseapy 在本地完成 GO/KEGG 富集分析，无需网络请求。</w:t>
      </w:r>
    </w:p>
    <w:p>
      <w:pPr>
        <w:spacing w:after="80" w:before="60"/>
      </w:pPr>
    </w:p>
    <w:p>
      <w:pPr>
        <w:shd w:fill="F0FF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E3A"/>
          <w:sz w:val="18"/>
          <w:szCs w:val="18"/>
        </w:rPr>
        <w:t xml:space="preserve"># pip install gseapy
import gseapy as gp
def enrich_analysis(gene_list: list[str]) -&gt; dict:
    go_res = gp.enrichr(
        gene_list=gene_list,
        gene_sets=['GO_Biological_Process_2023'],
        organism='human',
        outdir=None  # 不写文件，直接返回
    )
    kegg_res = gp.enrichr(
        gene_list=gene_list,
        gene_sets=['KEGG_2021_Human'],
        organism='human',
        outdir=None
    )
    return {
        'go_bp': go_res.results.head(20).to_dict('records'),
        'kegg':  kegg_res.results.head(20).to_dict('records'),
    }</w:t>
      </w:r>
    </w:p>
    <w:p>
      <w:pPr>
        <w:spacing w:after="8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Celery 异步任务队列（解决耗时分析超时）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网络药理学分析可能运行 2-10 分钟，同步 HTTP 接口会超时。正确做法是提交任务后返回 task_id，前端轮询结果。</w:t>
      </w:r>
    </w:p>
    <w:p>
      <w:pPr>
        <w:spacing w:after="80" w:before="60"/>
      </w:pPr>
    </w:p>
    <w:p>
      <w:pPr>
        <w:shd w:fill="F0FF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E3A"/>
          <w:sz w:val="18"/>
          <w:szCs w:val="18"/>
        </w:rPr>
        <w:t xml:space="preserve"># app/celery_app.py
from celery import Celery
celery_app = Celery('tcm', broker='redis://localhost:6379/0',
                    backend='redis://localhost:6379/0')
# app/tasks/pharmacology.py
@celery_app.task
def run_pharmacology_analysis(formula: dict) -&gt; dict:
    # 耗时操作放这里
    return generate_pharmacology_report(formula)
# app/api/pharmacology.py
@router.post('/analyze')
def start_analysis(formula: dict):
    task = run_pharmacology_analysis.delay(formula)
    return {'task_id': task.id}  # 立刻返回，不等待
@router.get('/result/{task_id}')
def get_result(task_id: str):
    task = run_pharmacology_analysis.AsyncResult(task_id)
    return {'status': task.state, 'result': task.result}</w:t>
      </w:r>
    </w:p>
    <w:p>
      <w:pPr>
        <w:spacing w:after="8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8B"/>
          <w:sz w:val="34"/>
          <w:szCs w:val="34"/>
        </w:rPr>
        <w:t xml:space="preserve">五、医学专用 Embedding 方案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为什么要替换 Embedding 模型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通用 Embedding 模型（如 DeepSeek Embedding）对中医专业术语的语义理解较弱，导致文献检索召回率低。医学专用模型在生物医学文本上经过专项训练，效果显著更好。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28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模型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维度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196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成本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DeepSeek Embedding（原方案）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通用</w:t>
            </w:r>
          </w:p>
        </w:tc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1536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通用文本，中医效果一般</w:t>
            </w:r>
          </w:p>
        </w:tc>
        <w:tc>
          <w:tcPr>
            <w:tcW w:type="dxa" w:w="1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按调用计费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PubMedBERT（推荐）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医学专用</w:t>
            </w:r>
          </w:p>
        </w:tc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768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生物医学文献，中医效果好</w:t>
            </w:r>
          </w:p>
        </w:tc>
        <w:tc>
          <w:tcPr>
            <w:tcW w:type="dxa" w:w="1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A"/>
                <w:sz w:val="20"/>
                <w:szCs w:val="20"/>
              </w:rPr>
              <w:t xml:space="preserve">免费本地运行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通用</w:t>
            </w:r>
          </w:p>
        </w:tc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1536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备选，性价比高</w:t>
            </w:r>
          </w:p>
        </w:tc>
        <w:tc>
          <w:tcPr>
            <w:tcW w:type="dxa" w:w="1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¥0.02/百万 token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PubMedBERT 集成代码</w:t>
      </w:r>
    </w:p>
    <w:p>
      <w:pPr>
        <w:shd w:fill="F0FF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E3A"/>
          <w:sz w:val="18"/>
          <w:szCs w:val="18"/>
        </w:rPr>
        <w:t xml:space="preserve"># pip install sentence-transformers
from sentence_transformers import SentenceTransformer
# 首次运行自动下载（约 420MB），之后本地缓存
embed_model = SentenceTransformer(
    'pritamdeka/PubMedBERT-mnli-snli-scinli-scitail-mednli-stsb'
)
def get_embedding(text: str) -&gt; list[float]:
    return embed_model.encode(text, normalize_embeddings=True).tolist()
def batch_embed(texts: list[str]) -&gt; list[list[float]]:
    return embed_model.encode(texts, batch_size=32,
                              normalize_embeddings=True).tolist()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注意：pgvector 表的 embedding 维度需改为 768（PubMedBERT 输出维度）：</w:t>
      </w:r>
    </w:p>
    <w:p>
      <w:pPr>
        <w:shd w:fill="F0FF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E3A"/>
          <w:sz w:val="18"/>
          <w:szCs w:val="18"/>
        </w:rPr>
        <w:t xml:space="preserve">-- 建表时改为 768 维
CREATE TABLE papers (
    id        SERIAL PRIMARY KEY,
    title     TEXT,
    content   TEXT,
    embedding vector(768)  -- 原方案是 1536，需要改！
);</w:t>
      </w:r>
    </w:p>
    <w:p>
      <w:pPr>
        <w:spacing w:after="8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8B"/>
          <w:sz w:val="34"/>
          <w:szCs w:val="34"/>
        </w:rPr>
        <w:t xml:space="preserve">六、TCM 数据库与数据准备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推荐数据源（替换 TCMID）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数据库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数据规模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访问方式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覆盖内容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HERB（首选）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6万+ 草药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herb.ac.cn，支持批量下载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草药-成分-靶点-疾病全链条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SymMap 2.0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499 种中药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symmap.org API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证候-靶点-通路关联，独家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TCM-KG（保留）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万+ 条目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开源，本地导入 Neo4j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中药-方剂-疾病基础知识图谱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PubChem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1.1 亿化合物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PubChemPy 调用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成分化学结构、靶点信息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 数据库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1.4 万种生物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string-db.org API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蛋白质相互作用网络</w:t>
            </w:r>
          </w:p>
        </w:tc>
      </w:tr>
    </w:tbl>
    <w:p>
      <w:pPr>
        <w:spacing w:after="8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MVP 阶段数据准备清单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6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目标数量</w:t>
            </w:r>
          </w:p>
        </w:tc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获取方式</w:t>
            </w:r>
          </w:p>
        </w:tc>
        <w:tc>
          <w:tcPr>
            <w:tcW w:type="dxa" w:w="196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特应性皮炎中文文献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1000 篇</w:t>
            </w:r>
          </w:p>
        </w:tc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知网、万方关键词批量下载</w:t>
            </w:r>
          </w:p>
        </w:tc>
        <w:tc>
          <w:tcPr>
            <w:tcW w:type="dxa" w:w="1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P0 最高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特应性皮炎英文文献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 篇</w:t>
            </w:r>
          </w:p>
        </w:tc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PubMed Entrez API 批量下载</w:t>
            </w:r>
          </w:p>
        </w:tc>
        <w:tc>
          <w:tcPr>
            <w:tcW w:type="dxa" w:w="1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P0 最高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中药-成分-靶点数据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1000 条</w:t>
            </w:r>
          </w:p>
        </w:tc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HERB 数据库下载 CSV</w:t>
            </w:r>
          </w:p>
        </w:tc>
        <w:tc>
          <w:tcPr>
            <w:tcW w:type="dxa" w:w="1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P0 最高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脱敏临床病例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例</w:t>
            </w:r>
          </w:p>
        </w:tc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合作医院或公开数据集</w:t>
            </w:r>
          </w:p>
        </w:tc>
        <w:tc>
          <w:tcPr>
            <w:tcW w:type="dxa" w:w="1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 高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肠道菌群-证型关联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例</w:t>
            </w:r>
          </w:p>
        </w:tc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自有研究数据 + 已发表文献</w:t>
            </w:r>
          </w:p>
        </w:tc>
        <w:tc>
          <w:tcPr>
            <w:tcW w:type="dxa" w:w="1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 高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方剂组成数据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 首</w:t>
            </w:r>
          </w:p>
        </w:tc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TCM-KG 开源数据</w:t>
            </w:r>
          </w:p>
        </w:tc>
        <w:tc>
          <w:tcPr>
            <w:tcW w:type="dxa" w:w="1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 中</w:t>
            </w:r>
          </w:p>
        </w:tc>
      </w:tr>
    </w:tbl>
    <w:p>
      <w:pPr>
        <w:spacing w:after="8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8B"/>
          <w:sz w:val="34"/>
          <w:szCs w:val="34"/>
        </w:rPr>
        <w:t xml:space="preserve">七、部署架构与 Docker 配置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服务拆分（解决内存不足问题）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原方案将所有服务部署在 2核4G 服务器上，PostgreSQL + Neo4j + FastAPI 同时运行会 OOM（内存溢出）。优化方案如下：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服务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部署位置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内存占用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阿里云服务器（本地）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~800MB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主数据库，必须本地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阿里云服务器（本地）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~100MB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容器，30MB 镜像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后端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阿里云服务器（本地）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~400MB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包含 PubMedBERT 模型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Celery Worker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阿里云服务器（本地）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~400MB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与后端共享模型缓存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Neo4j（迁移云端）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Neo4j Aura 免费版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0（外部）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本地 Neo4j 需 1GB+，云托管节省内存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前端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阿里云服务器（本地）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~200MB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SSR 渲染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Nginx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阿里云服务器（本地）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~30MB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反向代理</w:t>
            </w:r>
          </w:p>
        </w:tc>
      </w:tr>
    </w:tbl>
    <w:p>
      <w:pPr>
        <w:spacing w:after="8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docker-compose.yml 优化版</w:t>
      </w:r>
    </w:p>
    <w:p>
      <w:pPr>
        <w:shd w:fill="F4F6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version: '3.9'
services:
  postgres:
    image: pgvector/pgvector:pg16
    environment:
      POSTGRES_DB: tcm_db
      POSTGRES_PASSWORD: ${POSTGRES_PASSWORD}
    volumes: [pgdata:/var/lib/postgresql/data]
    deploy:
      resources:
        limits: { memory: 1G }
  redis:
    image: redis:7-alpine
    deploy:
      resources:
        limits: { memory: 256M }
  backend:
    build: ./backend
    environment:
      - DEEPSEEK_API_KEY=${DEEPSEEK_API_KEY}
      - CLAUDE_API_KEY=${CLAUDE_API_KEY}
      - REDIS_URL=redis://redis:6379/0
      - POSTGRES_URL=postgresql://postgres:${POSTGRES_PASSWORD}@postgres/tcm_db
    depends_on: [postgres, redis]
    deploy:
      resources:
        limits: { memory: 1.2G }
  celery_worker:
    build: ./backend
    command: celery -A app.celery_app worker -c 2
    environment:
      - REDIS_URL=redis://redis:6379/0
    depends_on: [redis]
  frontend:
    build: ./frontend
    environment:
      - NEXT_PUBLIC_API_URL=https://你的域名/api
  nginx:
    image: nginx:alpine
    ports: ['80:80', '443:443']
    volumes: [./nginx.conf:/etc/nginx/nginx.conf]
    depends_on: [backend, frontend]
volumes:
  pgdata:</w:t>
      </w:r>
    </w:p>
    <w:p>
      <w:pPr>
        <w:spacing w:after="8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8B"/>
          <w:sz w:val="34"/>
          <w:szCs w:val="34"/>
        </w:rPr>
        <w:t xml:space="preserve">八、产品路线图（3阶段·18个月）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阶段 1：MVP 验证期（0-6 个月，总投入 &lt; ¥800）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月份</w:t>
            </w:r>
          </w:p>
        </w:tc>
        <w:tc>
          <w:tcPr>
            <w:tcW w:type="dxa" w:w="50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核心任务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 1 月</w:t>
            </w:r>
          </w:p>
        </w:tc>
        <w:tc>
          <w:tcPr>
            <w:tcW w:type="dxa" w:w="5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环境搭建、数据准备、基础 RAG 系统上线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文档可访问，能基于论文回答问题</w:t>
            </w:r>
          </w:p>
        </w:tc>
      </w:tr>
      <w:tr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 2 月</w:t>
            </w:r>
          </w:p>
        </w:tc>
        <w:tc>
          <w:tcPr>
            <w:tcW w:type="dxa" w:w="5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前端开发、文献检索界面上线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用户可通过界面搜索文献并获得 AI 回答</w:t>
            </w:r>
          </w:p>
        </w:tc>
      </w:tr>
      <w:tr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 3 月</w:t>
            </w:r>
          </w:p>
        </w:tc>
        <w:tc>
          <w:tcPr>
            <w:tcW w:type="dxa" w:w="5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网络药理学分析功能（含 Celery 异步化）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输入方剂 → 异步返回成分-靶点-通路分析结果</w:t>
            </w:r>
          </w:p>
        </w:tc>
      </w:tr>
      <w:tr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 4 月</w:t>
            </w:r>
          </w:p>
        </w:tc>
        <w:tc>
          <w:tcPr>
            <w:tcW w:type="dxa" w:w="5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Neo4j 知识图谱上线、可视化展示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知识图谱可查询并图形化展示</w:t>
            </w:r>
          </w:p>
        </w:tc>
      </w:tr>
      <w:tr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 5 月</w:t>
            </w:r>
          </w:p>
        </w:tc>
        <w:tc>
          <w:tcPr>
            <w:tcW w:type="dxa" w:w="5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内测上线，邀请 50 位用户，收集反馈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有效内测用户 ≥ 50，收集 100 条以上反馈</w:t>
            </w:r>
          </w:p>
        </w:tc>
      </w:tr>
      <w:tr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 6 月</w:t>
            </w:r>
          </w:p>
        </w:tc>
        <w:tc>
          <w:tcPr>
            <w:tcW w:type="dxa" w:w="5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修复 Bug，性能优化，实现第一笔收入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第一笔科研服务收入入账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阶段 2：功能完善期（6-12 个月，总投入 &lt; ¥5000）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精准辨证辅助系统：四诊信息 + 免疫指标 → 概率化辨证 + 方剂推荐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肠道菌群分析模块：16S 测序数据上传 → 菌群组成分析 → 中医证型预测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科研数据管理系统：病例录入、统计分析、自动生成图表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里程碑：用户数 200+，月收入 ≥ ¥1000，实现收支平衡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阶段 3：商业化扩张期（12-18 个月）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拓展银屑病、湿疹等皮肤病病种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多中心临床研究协作平台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企业版私有化部署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里程碑：用户数 1000+，月收入 ≥ ¥10000</w:t>
      </w:r>
    </w:p>
    <w:p>
      <w:pPr>
        <w:spacing w:after="8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8B"/>
          <w:sz w:val="34"/>
          <w:szCs w:val="34"/>
        </w:rPr>
        <w:t xml:space="preserve">九、MVP 阶段资金预算（6个月）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项目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费用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必要性</w:t>
            </w:r>
          </w:p>
        </w:tc>
        <w:tc>
          <w:tcPr>
            <w:tcW w:type="dxa" w:w="356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DeepSeek Pro 会员 × 6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¥408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必须</w:t>
            </w:r>
          </w:p>
        </w:tc>
        <w:tc>
          <w:tcPr>
            <w:tcW w:type="dxa" w:w="3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主力开发 + 日常 LLM 调用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API（按量付费）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¥200 预估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必须</w:t>
            </w:r>
          </w:p>
        </w:tc>
        <w:tc>
          <w:tcPr>
            <w:tcW w:type="dxa" w:w="3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复杂推理任务，按调用量付费，可控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阿里云学生轻量服务器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¥99/年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必须</w:t>
            </w:r>
          </w:p>
        </w:tc>
        <w:tc>
          <w:tcPr>
            <w:tcW w:type="dxa" w:w="3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2核4G，Ubuntu 22.04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Neo4j Aura 免费版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¥0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必须</w:t>
            </w:r>
          </w:p>
        </w:tc>
        <w:tc>
          <w:tcPr>
            <w:tcW w:type="dxa" w:w="3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知识图谱云托管，免费配额够用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域名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¥50/年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可选</w:t>
            </w:r>
          </w:p>
        </w:tc>
        <w:tc>
          <w:tcPr>
            <w:tcW w:type="dxa" w:w="3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提升专业度，可先用 IP 直接访问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其他杂费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¥100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可选</w:t>
            </w:r>
          </w:p>
        </w:tc>
        <w:tc>
          <w:tcPr>
            <w:tcW w:type="dxa" w:w="3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文献下载、域名备案等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总计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¥857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6个月总投入不到900元</w:t>
            </w:r>
          </w:p>
        </w:tc>
      </w:tr>
    </w:tbl>
    <w:p>
      <w:pPr>
        <w:spacing w:after="8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8B"/>
          <w:sz w:val="34"/>
          <w:szCs w:val="34"/>
        </w:rPr>
        <w:t xml:space="preserve">十、风险评估与应对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概率</w:t>
            </w:r>
          </w:p>
        </w:tc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影响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2E86C1" w:sz="2"/>
              <w:right w:val="single" w:color="BBCFE0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B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专业内容错误</w:t>
            </w:r>
          </w:p>
        </w:tc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高</w:t>
            </w:r>
          </w:p>
        </w:tc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致命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所有 AI 生成的中医内容必须由你亲自逐条审核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服务器内存不足</w:t>
            </w:r>
          </w:p>
        </w:tc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41C"/>
                <w:sz w:val="20"/>
                <w:szCs w:val="20"/>
              </w:rPr>
              <w:t xml:space="preserve">高（原方案）</w:t>
            </w:r>
          </w:p>
        </w:tc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41C"/>
                <w:sz w:val="20"/>
                <w:szCs w:val="20"/>
              </w:rPr>
              <w:t xml:space="preserve">严重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E3A"/>
                <w:sz w:val="20"/>
                <w:szCs w:val="20"/>
              </w:rPr>
              <w:t xml:space="preserve">已修复：Neo4j 迁移 Aura，限制各容器内存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用户需求不匹配</w:t>
            </w:r>
          </w:p>
        </w:tc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严重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每周至少与 3 个用户沟通，根据反馈调整方向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数据质量不足</w:t>
            </w:r>
          </w:p>
        </w:tc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中等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先从公开数据入手，建立人工审核流程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合规问题</w:t>
            </w:r>
          </w:p>
        </w:tc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严重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明确免责声明，不做诊断功能，所有数据脱敏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费用超支</w:t>
            </w:r>
          </w:p>
        </w:tc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低</w:t>
            </w:r>
          </w:p>
        </w:tc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轻微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缓存热点结果，Celery 限制并发数</w:t>
            </w:r>
          </w:p>
        </w:tc>
      </w:tr>
    </w:tbl>
    <w:p>
      <w:pPr>
        <w:spacing w:after="8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8B"/>
          <w:sz w:val="34"/>
          <w:szCs w:val="34"/>
        </w:rPr>
        <w:t xml:space="preserve">十一、第一周快速启动清单（修正版）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Day 0（1小时）：账号与工具准备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注册 DeepSeek Pro，获取 API Key（¥68/月）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注册 Anthropic 账号，获取 Claude API Key（按量付费）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注册 Neo4j Aura 免费版（云托管知识图谱）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购买阿里云学生轻量服务器（¥99/年，Ubuntu 22.04）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本地安装：Python 3.11、Node.js 20、Docker Desktop、VS Code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Day 1（后端初始化）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创建项目目录，配置 Python 虚拟环境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安装依赖：fastapi uvicorn pgvector sentence-transformers gseapy celery redis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配置 .env 文件（DeepSeek Key、Claude Key、数据库 URL）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启动 FastAPI 服务，访问 /docs 验证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Day 2（数据库）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Docker 启动 PostgreSQL + pgvector，创建 papers 表（768维）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Docker 启动 Redis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用 pgvector.psycopg2 正确写法测试 embedding 存取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下载并加载 PubMedBERT 模型（首次约 10 分钟）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Day 3（RAG 系统）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准备 50 篇特应性皮炎论文放入 data/papers/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运行文献导入脚本（使用正确的 pgvector 写法）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实现 /rag/answer 接口，测试文献问答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Day 4（异步任务）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配置 Celery + Redis，实现药理学分析异步化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实现 /pharmacology/analyze（返回 task_id）和 /pharmacology/result/{id}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用 gseapy 替换 DAVID API，测试富集分析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Day 5（前端）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用 Next.js 初始化前端项目（npx create-next-app@latest）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安装 Ant Design 5，搭建文献检索页面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实现任务状态轮询（每隔 3 秒查询 task_id 状态）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Day 6-7（收尾与部署）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Neo4j Aura 导入常用中药基础数据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Docker Compose 整合所有服务，本地联调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部署到阿里云服务器，配置 Nginx</w:t>
      </w:r>
    </w:p>
    <w:p>
      <w:pPr>
        <w:spacing w:after="50" w:before="5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邀请 3-5 位同学内测，收集第一批反馈</w:t>
      </w:r>
    </w:p>
    <w:p>
      <w:pPr>
        <w:spacing w:after="80" w:before="200"/>
      </w:pPr>
    </w:p>
    <w:sectPr>
      <w:footerReference w:type="default" r:id="rId7"/>
      <w:pgSz w:w="11906" w:h="16838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77"/>
        <w:sz w:val="18"/>
        <w:szCs w:val="18"/>
      </w:rPr>
      <w:t xml:space="preserve">中医药精准诊疗与科研一体化平台 · 技术架构方案 V2.0    |    第 </w:t>
    </w:r>
    <w:r>
      <w:rPr>
        <w:rFonts w:ascii="Arial" w:cs="Arial" w:eastAsia="Arial" w:hAnsi="Arial"/>
        <w:color w:val="5555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77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C1" w:sz="4" w:space="4"/>
      </w:pBdr>
      <w:spacing w:after="180" w:before="360"/>
      <w:outlineLvl w:val="0"/>
    </w:pPr>
    <w:rPr>
      <w:rFonts w:ascii="Arial" w:cs="Arial" w:eastAsia="Arial" w:hAnsi="Arial"/>
      <w:b/>
      <w:bCs/>
      <w:color w:val="1B5E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B5E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2026-05-01T02:29:49.292Z</dcterms:created>
  <dcterms:modified xsi:type="dcterms:W3CDTF">2026-05-01T02:29:49.292Z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