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3C6320E3" w14:textId="77777777" w:rsidR="00A14A16" w:rsidRDefault="00000000">
      <w:pPr>
        <w:pStyle w:val="Heading1"/>
      </w:pPr>
      <w:bookmarkStart w:id="0" w:name="header"/>
      <w:bookmarkStart w:id="1" w:name="Xdaf3caddf622f24228cd2557bb392b918d8a899"/>
      <w:bookmarkStart w:id="2" w:name="content"/>
      <w:bookmarkEnd w:id="0"/>
      <w:r>
        <w:t>Gender Gap in Jordan’s Instant Payments (CLIQ vs JoMoPay)</w:t>
      </w:r>
    </w:p>
    <w:p w14:paraId="41F18319" w14:textId="434E131E" w:rsidR="00A14A16" w:rsidRDefault="00000000">
      <w:pPr>
        <w:pStyle w:val="FirstParagraph"/>
      </w:pPr>
      <w:r>
        <w:t xml:space="preserve">Jordan’s two instant payment brands – </w:t>
      </w:r>
      <w:r>
        <w:rPr>
          <w:b/>
          <w:bCs/>
        </w:rPr>
        <w:t>CLIQ</w:t>
      </w:r>
      <w:r>
        <w:t xml:space="preserve"> (bank-to-bank instant transfers) and </w:t>
      </w:r>
      <w:r>
        <w:rPr>
          <w:b/>
          <w:bCs/>
        </w:rPr>
        <w:t>JoMoPay</w:t>
      </w:r>
      <w:r>
        <w:t xml:space="preserve"> (mobile wallet and wallet–bank transfers) – show markedly different gender balances. According to JoPACC (the national payments operator), JoMoPay had </w:t>
      </w:r>
      <w:r>
        <w:rPr>
          <w:b/>
          <w:bCs/>
        </w:rPr>
        <w:t>2.16 million wallet users in 2023</w:t>
      </w:r>
      <w:r>
        <w:t xml:space="preserve"> with females rising to </w:t>
      </w:r>
      <w:r>
        <w:rPr>
          <w:i/>
          <w:iCs/>
        </w:rPr>
        <w:t>47%</w:t>
      </w:r>
      <w:r>
        <w:t xml:space="preserve"> of users (roughly balanced). By contrast CLIQ’s user base skews male: recent data indicate about </w:t>
      </w:r>
      <w:r>
        <w:rPr>
          <w:b/>
          <w:bCs/>
        </w:rPr>
        <w:t>61% male vs 36% female</w:t>
      </w:r>
      <w:r>
        <w:t xml:space="preserve"> (with 3% unspecified). (CLIQ use was even more male</w:t>
      </w:r>
      <w:r>
        <w:rPr>
          <w:rFonts w:ascii="Cambria Math" w:hAnsi="Cambria Math" w:cs="Cambria Math"/>
        </w:rPr>
        <w:t>‐</w:t>
      </w:r>
      <w:r>
        <w:t>heavy earlier: e.g. in Mar 2022 CLIQ users were ~70% male.) In other words, women in Jordan are using mobile wallets nearly on par with men, but are underrepresented in the bank-based CLIQ system. The following analysis explores whether narrowing the CLIQ gender gap is worthwhile, why it exists, and how solutions like prepaid/debit cards might help.</w:t>
      </w:r>
    </w:p>
    <w:p w14:paraId="693F3FBB" w14:textId="77777777" w:rsidR="00A14A16" w:rsidRDefault="00000000">
      <w:pPr>
        <w:pStyle w:val="Heading2"/>
      </w:pPr>
      <w:bookmarkStart w:id="3" w:name="benefits-of-closing-the-cliq-gender-gap"/>
      <w:r>
        <w:t>1. Benefits of Closing the CLIQ Gender Gap</w:t>
      </w:r>
    </w:p>
    <w:p w14:paraId="4D9B7BC4" w14:textId="77777777" w:rsidR="003D78C4" w:rsidRPr="003D78C4" w:rsidRDefault="003D78C4" w:rsidP="003D78C4">
      <w:pPr>
        <w:pStyle w:val="Compact"/>
        <w:ind w:left="720"/>
      </w:pPr>
    </w:p>
    <w:p w14:paraId="3A7CC71E" w14:textId="003D847D" w:rsidR="00A14A16" w:rsidRDefault="00000000">
      <w:pPr>
        <w:pStyle w:val="Compact"/>
        <w:numPr>
          <w:ilvl w:val="0"/>
          <w:numId w:val="2"/>
        </w:numPr>
      </w:pPr>
      <w:r>
        <w:rPr>
          <w:b/>
          <w:bCs/>
        </w:rPr>
        <w:t>Expanded transaction volume and bank revenue.</w:t>
      </w:r>
      <w:r>
        <w:t xml:space="preserve"> More women using CLIQ means more overall transfers. JoPACC’s 2023 report highlighted that CLIQ had the </w:t>
      </w:r>
      <w:r>
        <w:rPr>
          <w:i/>
          <w:iCs/>
        </w:rPr>
        <w:t>fastest growth</w:t>
      </w:r>
      <w:r>
        <w:t xml:space="preserve"> of any payment system (327.6% more transactions in 2023 vs. 2022). Recruiting additional users – especially women, who now make up only ~36% of CLIQ – would sustain this momentum. Higher transaction volumes boost banking-sector revenue (through fees, float and cross-selling opportunities) and solidify the instant payments infrastructure.</w:t>
      </w:r>
    </w:p>
    <w:p w14:paraId="76B7B23B" w14:textId="77777777" w:rsidR="003D78C4" w:rsidRDefault="003D78C4" w:rsidP="003D78C4">
      <w:pPr>
        <w:pStyle w:val="Compact"/>
      </w:pPr>
    </w:p>
    <w:p w14:paraId="5FEFB019" w14:textId="6C4FE8E8" w:rsidR="00A14A16" w:rsidRDefault="00000000">
      <w:pPr>
        <w:pStyle w:val="Compact"/>
        <w:numPr>
          <w:ilvl w:val="0"/>
          <w:numId w:val="2"/>
        </w:numPr>
      </w:pPr>
      <w:r>
        <w:rPr>
          <w:b/>
          <w:bCs/>
        </w:rPr>
        <w:t>Inclusive economic growth.</w:t>
      </w:r>
      <w:r>
        <w:t xml:space="preserve"> Studies show that </w:t>
      </w:r>
      <w:r>
        <w:rPr>
          <w:b/>
          <w:bCs/>
        </w:rPr>
        <w:t>financial inclusion of women yields broad economic gains</w:t>
      </w:r>
      <w:r>
        <w:t>. For example, areas with high mobile-money access see significantly lower female poverty rates and higher household consumption. When women have accounts and digital payment tools, they gain economic power and resilience. In Jordan, bringing more women into CLIQ (bank transfers) could improve household financial stability and spur spending, benefiting the wider economy. As one World Bank study notes, women’s access to financial services leads to “more influence over their household’s spending priorities, less dependence on riskier income sources, and more resilience”.</w:t>
      </w:r>
    </w:p>
    <w:p w14:paraId="7782D9B0" w14:textId="77777777" w:rsidR="003D78C4" w:rsidRDefault="003D78C4" w:rsidP="003D78C4">
      <w:pPr>
        <w:pStyle w:val="Compact"/>
        <w:ind w:left="720"/>
      </w:pPr>
    </w:p>
    <w:p w14:paraId="0943A5FF" w14:textId="6C03E212" w:rsidR="00A14A16" w:rsidRDefault="00000000">
      <w:pPr>
        <w:pStyle w:val="Compact"/>
        <w:numPr>
          <w:ilvl w:val="0"/>
          <w:numId w:val="2"/>
        </w:numPr>
      </w:pPr>
      <w:r>
        <w:rPr>
          <w:b/>
          <w:bCs/>
        </w:rPr>
        <w:t>Policy and inclusion goals.</w:t>
      </w:r>
      <w:r>
        <w:t xml:space="preserve"> Jordan’s Central Bank has set targets for inclusion: by end-2020, only 50% of adults had accounts and the </w:t>
      </w:r>
      <w:r>
        <w:rPr>
          <w:i/>
          <w:iCs/>
        </w:rPr>
        <w:t>gender gap in account ownership remained ~29%</w:t>
      </w:r>
      <w:r>
        <w:t xml:space="preserve">. Closing CLIQ’s gender gap directly advances these goals. JoPACC’s data imply banks have already succeeded in equitably attracting women to wallets (47% female users in </w:t>
      </w:r>
      <w:proofErr w:type="spellStart"/>
      <w:r>
        <w:t>JoMoPay</w:t>
      </w:r>
      <w:proofErr w:type="spellEnd"/>
      <w:r>
        <w:t xml:space="preserve">), so focusing on CLIQ would further national inclusion objectives. In sum, reaching gender parity in CLIQ is likely </w:t>
      </w:r>
      <w:r>
        <w:rPr>
          <w:b/>
          <w:bCs/>
        </w:rPr>
        <w:t>worthwhile</w:t>
      </w:r>
      <w:r>
        <w:t>: it taps a large potential user base of women, increases digital transactions, and supports gender-balanced economic empowerment.</w:t>
      </w:r>
    </w:p>
    <w:p w14:paraId="228211C7" w14:textId="77777777" w:rsidR="003D78C4" w:rsidRDefault="003D78C4" w:rsidP="003D78C4">
      <w:pPr>
        <w:pStyle w:val="Compact"/>
      </w:pPr>
    </w:p>
    <w:p w14:paraId="77B35874" w14:textId="77777777" w:rsidR="003D78C4" w:rsidRDefault="003D78C4" w:rsidP="003D78C4">
      <w:pPr>
        <w:pStyle w:val="Compact"/>
      </w:pPr>
    </w:p>
    <w:p w14:paraId="0343E53B" w14:textId="77777777" w:rsidR="00A14A16" w:rsidRDefault="00000000">
      <w:pPr>
        <w:pStyle w:val="Heading2"/>
      </w:pPr>
      <w:bookmarkStart w:id="4" w:name="why-the-cliq-gender-gap-exists"/>
      <w:bookmarkEnd w:id="3"/>
      <w:r>
        <w:t>2. Why the CLIQ Gender Gap Exists</w:t>
      </w:r>
    </w:p>
    <w:p w14:paraId="462DEC71" w14:textId="77777777" w:rsidR="003D78C4" w:rsidRPr="003D78C4" w:rsidRDefault="003D78C4" w:rsidP="003D78C4">
      <w:pPr>
        <w:pStyle w:val="Compact"/>
        <w:ind w:left="720"/>
      </w:pPr>
    </w:p>
    <w:p w14:paraId="5EBDC7BF" w14:textId="5D0C9145" w:rsidR="00A14A16" w:rsidRDefault="00000000">
      <w:pPr>
        <w:pStyle w:val="Compact"/>
        <w:numPr>
          <w:ilvl w:val="0"/>
          <w:numId w:val="3"/>
        </w:numPr>
      </w:pPr>
      <w:r>
        <w:rPr>
          <w:b/>
          <w:bCs/>
        </w:rPr>
        <w:t>Bank account ownership gap.</w:t>
      </w:r>
      <w:r>
        <w:t xml:space="preserve"> CLIQ requires a bank account (and registration via IBAN or alias). In Jordan, far fewer women hold bank accounts than men. An IMF review noted only half of adults had accounts by </w:t>
      </w:r>
      <w:proofErr w:type="gramStart"/>
      <w:r>
        <w:t>2020</w:t>
      </w:r>
      <w:proofErr w:type="gramEnd"/>
      <w:r>
        <w:t xml:space="preserve"> and the gender gap was ~29%</w:t>
      </w:r>
      <w:r w:rsidR="00A5244E">
        <w:rPr>
          <w:lang w:val="en-US"/>
        </w:rPr>
        <w:t xml:space="preserve">. </w:t>
      </w:r>
      <w:proofErr w:type="gramStart"/>
      <w:r>
        <w:t>Thus</w:t>
      </w:r>
      <w:proofErr w:type="gramEnd"/>
      <w:r>
        <w:t xml:space="preserve"> many women simply cannot sign up for CLIQ. By contrast, JoMoPay’s mobile-wallet service was explicitly designed to reach unbanked populations.</w:t>
      </w:r>
    </w:p>
    <w:p w14:paraId="76204ED1" w14:textId="77777777" w:rsidR="003D78C4" w:rsidRDefault="003D78C4" w:rsidP="003D78C4">
      <w:pPr>
        <w:pStyle w:val="Compact"/>
        <w:ind w:left="720"/>
      </w:pPr>
    </w:p>
    <w:p w14:paraId="31A4D6E3" w14:textId="03D6C129" w:rsidR="00A14A16" w:rsidRDefault="00000000">
      <w:pPr>
        <w:pStyle w:val="Compact"/>
        <w:numPr>
          <w:ilvl w:val="0"/>
          <w:numId w:val="3"/>
        </w:numPr>
      </w:pPr>
      <w:r>
        <w:rPr>
          <w:b/>
          <w:bCs/>
        </w:rPr>
        <w:t>Technology and accessibility barriers.</w:t>
      </w:r>
      <w:r>
        <w:t xml:space="preserve"> JoMoPay uses USSD (menu</w:t>
      </w:r>
      <w:r>
        <w:rPr>
          <w:rFonts w:ascii="Cambria Math" w:hAnsi="Cambria Math" w:cs="Cambria Math"/>
        </w:rPr>
        <w:t>‐</w:t>
      </w:r>
      <w:r>
        <w:t xml:space="preserve">based mobile) transactions, which serve </w:t>
      </w:r>
      <w:r>
        <w:rPr>
          <w:b/>
          <w:bCs/>
        </w:rPr>
        <w:t>all citizens</w:t>
      </w:r>
      <w:r>
        <w:t xml:space="preserve"> regardless of phone type. This allows a woman with a basic feature phone (or no internet) to use a wallet. CLIQ typically requires a banking app or smartphone for registration. Women with limited digital literacy, no smartphone or limited access to bank branches face higher hurdles. As the CBJ notes, </w:t>
      </w:r>
      <w:proofErr w:type="gramStart"/>
      <w:r>
        <w:t>mobile</w:t>
      </w:r>
      <w:r>
        <w:rPr>
          <w:rFonts w:ascii="Cambria Math" w:hAnsi="Cambria Math" w:cs="Cambria Math"/>
        </w:rPr>
        <w:t>‐</w:t>
      </w:r>
      <w:r>
        <w:t>payments</w:t>
      </w:r>
      <w:proofErr w:type="gramEnd"/>
      <w:r>
        <w:t xml:space="preserve"> through USSD make services </w:t>
      </w:r>
      <w:r>
        <w:rPr>
          <w:rFonts w:ascii="Aptos" w:hAnsi="Aptos" w:cs="Aptos"/>
        </w:rPr>
        <w:t>“</w:t>
      </w:r>
      <w:r>
        <w:t>available consistently for all sectors</w:t>
      </w:r>
      <w:r>
        <w:rPr>
          <w:rFonts w:ascii="Aptos" w:hAnsi="Aptos" w:cs="Aptos"/>
        </w:rPr>
        <w:t>”</w:t>
      </w:r>
      <w:r>
        <w:t>. CLIQ lacks that broad accessibility, so women who rely on simpler mobile tools have gravitated towards wallets.</w:t>
      </w:r>
    </w:p>
    <w:p w14:paraId="0C40C266" w14:textId="77777777" w:rsidR="003D78C4" w:rsidRDefault="003D78C4" w:rsidP="003D78C4">
      <w:pPr>
        <w:pStyle w:val="ListParagraph"/>
      </w:pPr>
    </w:p>
    <w:p w14:paraId="56F4E6A2" w14:textId="77777777" w:rsidR="003D78C4" w:rsidRDefault="003D78C4" w:rsidP="003D78C4">
      <w:pPr>
        <w:pStyle w:val="Compact"/>
        <w:ind w:left="720"/>
      </w:pPr>
    </w:p>
    <w:p w14:paraId="1BD48D8C" w14:textId="60BCF72B" w:rsidR="00A14A16" w:rsidRDefault="00000000">
      <w:pPr>
        <w:pStyle w:val="Compact"/>
        <w:numPr>
          <w:ilvl w:val="0"/>
          <w:numId w:val="3"/>
        </w:numPr>
      </w:pPr>
      <w:r>
        <w:rPr>
          <w:b/>
          <w:bCs/>
        </w:rPr>
        <w:t>Socio-cultural factors.</w:t>
      </w:r>
      <w:r>
        <w:t xml:space="preserve"> Women in some communities may have less financial autonomy or mobility, making casual bank visits or formal banking relationships harder. Cultural norms can influence who handles money transfers. While specific studies in Jordan are scarce, global evidence suggests women often cite lack of ID, distance to banks, or household constraints as barriers. Until these are addressed, women tend to use the most convenient option – often the JoMoPay wallet accessible from home – rather than opening an account and using CLIQ.</w:t>
      </w:r>
    </w:p>
    <w:p w14:paraId="4AFC2C17" w14:textId="77777777" w:rsidR="003D78C4" w:rsidRDefault="003D78C4" w:rsidP="003D78C4">
      <w:pPr>
        <w:pStyle w:val="Compact"/>
        <w:ind w:left="720"/>
      </w:pPr>
    </w:p>
    <w:p w14:paraId="4446E77C" w14:textId="77777777" w:rsidR="00A14A16" w:rsidRDefault="00000000">
      <w:pPr>
        <w:pStyle w:val="Compact"/>
        <w:numPr>
          <w:ilvl w:val="0"/>
          <w:numId w:val="3"/>
        </w:numPr>
      </w:pPr>
      <w:r>
        <w:rPr>
          <w:b/>
          <w:bCs/>
        </w:rPr>
        <w:t>Lack of targeted outreach.</w:t>
      </w:r>
      <w:r>
        <w:t xml:space="preserve"> Early CLIQ marketing may have focused on tech-savvy or male-dominated segments. Without tailored campaigns for women (or women-specific incentives), uptake among female customers lagged. In contrast, e-wallet providers and agents often target broad populations, helping equalize the JoMoPay user mix.</w:t>
      </w:r>
    </w:p>
    <w:p w14:paraId="6F2B5FA7" w14:textId="0ED344D8" w:rsidR="00A14A16" w:rsidRDefault="00000000">
      <w:pPr>
        <w:pStyle w:val="FirstParagraph"/>
      </w:pPr>
      <w:r>
        <w:t xml:space="preserve">Together, these factors mean </w:t>
      </w:r>
      <w:r>
        <w:rPr>
          <w:b/>
          <w:bCs/>
        </w:rPr>
        <w:t>CLIQ’s design and access model favors men</w:t>
      </w:r>
      <w:r>
        <w:t>, whereas JoMoPay’s inclusive model has achieved near parity.</w:t>
      </w:r>
    </w:p>
    <w:p w14:paraId="3BE8DDBB" w14:textId="77777777" w:rsidR="003D78C4" w:rsidRDefault="003D78C4" w:rsidP="003D78C4">
      <w:pPr>
        <w:pStyle w:val="BodyText"/>
      </w:pPr>
    </w:p>
    <w:p w14:paraId="5E870EDB" w14:textId="77777777" w:rsidR="003D78C4" w:rsidRDefault="003D78C4" w:rsidP="003D78C4">
      <w:pPr>
        <w:pStyle w:val="BodyText"/>
      </w:pPr>
    </w:p>
    <w:p w14:paraId="7D727FEB" w14:textId="77777777" w:rsidR="003D78C4" w:rsidRDefault="003D78C4" w:rsidP="003D78C4">
      <w:pPr>
        <w:pStyle w:val="BodyText"/>
      </w:pPr>
    </w:p>
    <w:p w14:paraId="3C15E03B" w14:textId="77777777" w:rsidR="003D78C4" w:rsidRDefault="003D78C4" w:rsidP="003D78C4">
      <w:pPr>
        <w:pStyle w:val="BodyText"/>
      </w:pPr>
    </w:p>
    <w:p w14:paraId="2AE4A370" w14:textId="77777777" w:rsidR="003D78C4" w:rsidRPr="003D78C4" w:rsidRDefault="003D78C4" w:rsidP="003D78C4">
      <w:pPr>
        <w:pStyle w:val="BodyText"/>
      </w:pPr>
    </w:p>
    <w:p w14:paraId="6E01812D" w14:textId="77777777" w:rsidR="00A14A16" w:rsidRDefault="00000000">
      <w:pPr>
        <w:pStyle w:val="Heading2"/>
      </w:pPr>
      <w:bookmarkStart w:id="5" w:name="X9979c4bb4bb1d4fc1998dd85d9f3676e34fa7fd"/>
      <w:bookmarkEnd w:id="4"/>
      <w:r>
        <w:t>3. Encouraging Bank-Account Adoption (Beyond Wallets) and the Role of Cards</w:t>
      </w:r>
    </w:p>
    <w:p w14:paraId="4AC590C3" w14:textId="77777777" w:rsidR="00A14A16" w:rsidRDefault="00000000">
      <w:pPr>
        <w:pStyle w:val="FirstParagraph"/>
      </w:pPr>
      <w:r>
        <w:t>To shift more users – especially women – from wallets to bank-based payments like CLIQ, the following strategies can help:</w:t>
      </w:r>
    </w:p>
    <w:p w14:paraId="184F5498" w14:textId="03C60B1E" w:rsidR="00A14A16" w:rsidRDefault="00000000">
      <w:pPr>
        <w:pStyle w:val="Compact"/>
        <w:numPr>
          <w:ilvl w:val="0"/>
          <w:numId w:val="4"/>
        </w:numPr>
      </w:pPr>
      <w:r>
        <w:rPr>
          <w:b/>
          <w:bCs/>
        </w:rPr>
        <w:t>Targeted financial literacy and outreach.</w:t>
      </w:r>
      <w:r>
        <w:t xml:space="preserve"> Launch programs aimed at women (in villages, schools, markets) to explain the benefits of accounts and CLIQ transfers. CBJ and NGOs could run awareness sessions, building on existing literacy initiatives. Highlight real use-cases: receiving salaries/pensions via CLIQ, paying utilities, or sending remittances cheaply.</w:t>
      </w:r>
    </w:p>
    <w:p w14:paraId="366D1732" w14:textId="77777777" w:rsidR="00A14A16" w:rsidRDefault="00000000">
      <w:pPr>
        <w:pStyle w:val="Compact"/>
        <w:numPr>
          <w:ilvl w:val="0"/>
          <w:numId w:val="4"/>
        </w:numPr>
      </w:pPr>
      <w:r>
        <w:rPr>
          <w:b/>
          <w:bCs/>
        </w:rPr>
        <w:t>Simplify account opening for women.</w:t>
      </w:r>
      <w:r>
        <w:t xml:space="preserve"> Loosen KYC requirements (where safe) and offer mobile account opening via agents. Partnerships with microfinance or women’s cooperatives can facilitate easy sign-up. For example, banks could allow women to open accounts with smaller initial deposits or community guarantors.</w:t>
      </w:r>
    </w:p>
    <w:p w14:paraId="121FBA0D" w14:textId="77777777" w:rsidR="00A14A16" w:rsidRDefault="00000000">
      <w:pPr>
        <w:pStyle w:val="Compact"/>
        <w:numPr>
          <w:ilvl w:val="0"/>
          <w:numId w:val="4"/>
        </w:numPr>
      </w:pPr>
      <w:r>
        <w:rPr>
          <w:b/>
          <w:bCs/>
        </w:rPr>
        <w:t>Incentivize usage of CLIQ.</w:t>
      </w:r>
      <w:r>
        <w:t xml:space="preserve"> Provide promotions (e.g. small cashbacks or reduced fees) for transfers made on CLIQ, or tie CLIQ use to rewards programs (loyalty points, bill discounts). Employers could be encouraged to pay salaries via CLIQ. Such incentives must be well-communicated to women.</w:t>
      </w:r>
    </w:p>
    <w:p w14:paraId="663132E0" w14:textId="77777777" w:rsidR="00A14A16" w:rsidRDefault="00000000">
      <w:pPr>
        <w:pStyle w:val="Compact"/>
        <w:numPr>
          <w:ilvl w:val="0"/>
          <w:numId w:val="4"/>
        </w:numPr>
      </w:pPr>
      <w:r>
        <w:rPr>
          <w:b/>
          <w:bCs/>
        </w:rPr>
        <w:t>Integrate with digital tools.</w:t>
      </w:r>
      <w:r>
        <w:t xml:space="preserve"> Extend CLIQ’s reach to USSD or social media payment channels so it can mimic the accessibility of JoMoPay. JoPACC could collaborate with mobile operators to allow CLIQ registration or transactions via </w:t>
      </w:r>
      <w:r>
        <w:rPr>
          <w:i/>
          <w:iCs/>
        </w:rPr>
        <w:t>bank account alias</w:t>
      </w:r>
      <w:r>
        <w:t xml:space="preserve"> through USSD – making it easier for users without smartphone apps.</w:t>
      </w:r>
    </w:p>
    <w:p w14:paraId="0879B763" w14:textId="77777777" w:rsidR="00A14A16" w:rsidRDefault="00000000">
      <w:pPr>
        <w:pStyle w:val="Compact"/>
        <w:numPr>
          <w:ilvl w:val="0"/>
          <w:numId w:val="4"/>
        </w:numPr>
      </w:pPr>
      <w:r>
        <w:rPr>
          <w:b/>
          <w:bCs/>
        </w:rPr>
        <w:t>Leverage prepaid/debit cards.</w:t>
      </w:r>
      <w:r>
        <w:t xml:space="preserve"> Introducing a card (prepaid or debit) that is linked to a CLIQ-eligible account can be very powerful. A card is a familiar tool: women can load it (via cash-in at agents) and then use the underlying account to pay or transfer via CLIQ. For example, if a prepaid card (like the mentioned “Reflect” card) allows a user to send money by phone/IBAN, it essentially bridges a cash or wallet deposit into the CLIQ network. By giving wallet users an on-ramp to banks (through a card they can hold), these programs can nudge women toward bank accounts and CLIQ.</w:t>
      </w:r>
    </w:p>
    <w:p w14:paraId="407CF5AE" w14:textId="77777777" w:rsidR="00A14A16" w:rsidRDefault="00000000">
      <w:pPr>
        <w:pStyle w:val="FirstParagraph"/>
      </w:pPr>
      <w:r>
        <w:t>In sum, making CLIQ as easy to use as a wallet – through education, lighter onboarding, tech integration, and supporting payment tools (cards) – will encourage more women to use bank-to-bank transfers.</w:t>
      </w:r>
    </w:p>
    <w:p w14:paraId="14E9EE34" w14:textId="77777777" w:rsidR="00A14A16" w:rsidRDefault="00000000">
      <w:pPr>
        <w:pStyle w:val="Heading2"/>
      </w:pPr>
      <w:bookmarkStart w:id="6" w:name="X1b1ed4d4d9f5e5373c8edb7510199176c769a6f"/>
      <w:bookmarkEnd w:id="5"/>
      <w:r>
        <w:lastRenderedPageBreak/>
        <w:t>4. Impact of Card Solutions on the CLIQ Gender Gap</w:t>
      </w:r>
    </w:p>
    <w:p w14:paraId="6D63FA22" w14:textId="77777777" w:rsidR="00A14A16" w:rsidRDefault="00000000">
      <w:pPr>
        <w:pStyle w:val="FirstParagraph"/>
      </w:pPr>
      <w:r>
        <w:t>If implemented well, card-based solutions could meaningfully reduce the gender imbalance in CLIQ:</w:t>
      </w:r>
    </w:p>
    <w:p w14:paraId="2F7FE1DD" w14:textId="77777777" w:rsidR="00A14A16" w:rsidRDefault="00000000">
      <w:pPr>
        <w:pStyle w:val="Compact"/>
        <w:numPr>
          <w:ilvl w:val="0"/>
          <w:numId w:val="5"/>
        </w:numPr>
      </w:pPr>
      <w:r>
        <w:rPr>
          <w:b/>
          <w:bCs/>
        </w:rPr>
        <w:t>Cards as on-ramps to bank payments.</w:t>
      </w:r>
      <w:r>
        <w:t xml:space="preserve"> A prepaid or debit card linked to an account gives users (including women) an entry into the banking system. Once women have such a card, they can fund it via cash or wallet and then use the card’s account to send CLIQ transfers. In effect, each cardholder becomes a potential new CLIQ user.</w:t>
      </w:r>
    </w:p>
    <w:p w14:paraId="5808AA55" w14:textId="5DF1323A" w:rsidR="00A14A16" w:rsidRDefault="00000000">
      <w:pPr>
        <w:pStyle w:val="Compact"/>
        <w:numPr>
          <w:ilvl w:val="0"/>
          <w:numId w:val="5"/>
        </w:numPr>
      </w:pPr>
      <w:r>
        <w:rPr>
          <w:b/>
          <w:bCs/>
        </w:rPr>
        <w:t>Potential magnitude.</w:t>
      </w:r>
      <w:r>
        <w:t xml:space="preserve"> Suppose 10–15% of female JoMoPay users adopt a card that enables CLIQ. This could raise CLIQ’s female share from ~36% toward the ~47% seen in wallets. For example, if CLIQ users doubled their female base from ~400K to ~800K (while male users stayed constant), the gender split would approach parity. Even a partial shift (say +5% female share) represents thousands of additional women engaged in the formal banking channel.</w:t>
      </w:r>
    </w:p>
    <w:p w14:paraId="5F7B70EB" w14:textId="77777777" w:rsidR="00A14A16" w:rsidRDefault="00000000">
      <w:pPr>
        <w:pStyle w:val="Compact"/>
        <w:numPr>
          <w:ilvl w:val="0"/>
          <w:numId w:val="5"/>
        </w:numPr>
      </w:pPr>
      <w:r>
        <w:rPr>
          <w:b/>
          <w:bCs/>
        </w:rPr>
        <w:t>Complementary to other measures.</w:t>
      </w:r>
      <w:r>
        <w:t xml:space="preserve"> Cards alone won’t eliminate the gap; they are most effective when combined with the initiatives above. However, they have proven useful in other markets for bringing unbanked populations into digital payments. In Jordan, if women find cards trustworthy and easy, these tools could convert some of the existing JoMoPay customer base into CLIQ users.</w:t>
      </w:r>
    </w:p>
    <w:p w14:paraId="1DA7D2BF" w14:textId="4BA5C851" w:rsidR="00A14A16" w:rsidRDefault="00000000">
      <w:pPr>
        <w:pStyle w:val="FirstParagraph"/>
      </w:pPr>
      <w:r>
        <w:t xml:space="preserve">In summary, introducing card solutions (like a CLIQ-compatible prepaid card) </w:t>
      </w:r>
      <w:r>
        <w:rPr>
          <w:i/>
          <w:iCs/>
        </w:rPr>
        <w:t>could significantly boost</w:t>
      </w:r>
      <w:r>
        <w:t xml:space="preserve"> female participation in bank-led payments. While precise figures depend on uptake rates, targeting cardholders among the underbanked is a proven way to close gender divides. If cards help bring CLIQ’s female share up to the ~47% level seen in </w:t>
      </w:r>
      <w:proofErr w:type="spellStart"/>
      <w:r>
        <w:t>JoMoPay</w:t>
      </w:r>
      <w:proofErr w:type="spellEnd"/>
      <w:r>
        <w:t xml:space="preserve">, the remaining gap </w:t>
      </w:r>
      <w:proofErr w:type="gramStart"/>
      <w:r>
        <w:t>would</w:t>
      </w:r>
      <w:proofErr w:type="gramEnd"/>
      <w:r>
        <w:t xml:space="preserve"> largely disappear, benefitting users and the economy alike.</w:t>
      </w:r>
    </w:p>
    <w:p w14:paraId="4A4CA807" w14:textId="20083729" w:rsidR="00A14A16" w:rsidRDefault="00000000">
      <w:pPr>
        <w:pStyle w:val="BodyText"/>
      </w:pPr>
      <w:r>
        <w:rPr>
          <w:b/>
          <w:bCs/>
        </w:rPr>
        <w:t>Sources:</w:t>
      </w:r>
      <w:r>
        <w:t xml:space="preserve"> Official Jordanian banking and payments reports and studies were used throughout: </w:t>
      </w:r>
      <w:proofErr w:type="spellStart"/>
      <w:r>
        <w:t>JoPACC’s</w:t>
      </w:r>
      <w:proofErr w:type="spellEnd"/>
      <w:r>
        <w:t xml:space="preserve"> 2023 report on CLIQ/</w:t>
      </w:r>
      <w:proofErr w:type="spellStart"/>
      <w:r>
        <w:t>JoMoPay</w:t>
      </w:r>
      <w:proofErr w:type="spellEnd"/>
      <w:r>
        <w:t>, CBJ publications, and global research on women’s financial inclusion. These illustrate the gender imbalances and the gains from inclusive fintech solutions.</w:t>
      </w:r>
    </w:p>
    <w:bookmarkEnd w:id="1"/>
    <w:bookmarkEnd w:id="2"/>
    <w:bookmarkEnd w:id="6"/>
    <w:p w14:paraId="79D6E8AF" w14:textId="77777777" w:rsidR="00A14A16" w:rsidRDefault="00000000">
      <w:r>
        <w:pict w14:anchorId="44A9811A">
          <v:rect id="_x0000_i1025" style="width:0;height:1.5pt" o:hralign="center" o:hrstd="t" o:hr="t"/>
        </w:pict>
      </w:r>
      <w:bookmarkStart w:id="7" w:name="citations"/>
      <w:bookmarkEnd w:id="7"/>
    </w:p>
    <w:sectPr w:rsidR="00A14A16">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5CA0" w14:textId="77777777" w:rsidR="00E478FF" w:rsidRDefault="00E478FF" w:rsidP="003D78C4">
      <w:pPr>
        <w:spacing w:after="0" w:line="240" w:lineRule="auto"/>
      </w:pPr>
      <w:r>
        <w:separator/>
      </w:r>
    </w:p>
  </w:endnote>
  <w:endnote w:type="continuationSeparator" w:id="0">
    <w:p w14:paraId="7F99C1B6" w14:textId="77777777" w:rsidR="00E478FF" w:rsidRDefault="00E478FF" w:rsidP="003D7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6E2C9" w14:textId="77777777" w:rsidR="00E478FF" w:rsidRDefault="00E478FF" w:rsidP="003D78C4">
      <w:pPr>
        <w:spacing w:after="0" w:line="240" w:lineRule="auto"/>
      </w:pPr>
      <w:r>
        <w:separator/>
      </w:r>
    </w:p>
  </w:footnote>
  <w:footnote w:type="continuationSeparator" w:id="0">
    <w:p w14:paraId="4C510F15" w14:textId="77777777" w:rsidR="00E478FF" w:rsidRDefault="00E478FF" w:rsidP="003D78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0A38" w14:textId="470FA7CD" w:rsidR="003D78C4" w:rsidRDefault="003D78C4" w:rsidP="003D78C4">
    <w:pPr>
      <w:pStyle w:val="Header"/>
    </w:pPr>
    <w:r>
      <w:t>JOPACC GENDER GAP ANALYSIS</w:t>
    </w:r>
  </w:p>
  <w:p w14:paraId="629B89D7" w14:textId="77777777" w:rsidR="003D78C4" w:rsidRDefault="003D78C4" w:rsidP="003D78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029F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54BD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43519871">
    <w:abstractNumId w:val="0"/>
  </w:num>
  <w:num w:numId="2" w16cid:durableId="508982321">
    <w:abstractNumId w:val="1"/>
  </w:num>
  <w:num w:numId="3" w16cid:durableId="1970628365">
    <w:abstractNumId w:val="1"/>
  </w:num>
  <w:num w:numId="4" w16cid:durableId="135613997">
    <w:abstractNumId w:val="1"/>
  </w:num>
  <w:num w:numId="5" w16cid:durableId="216093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4A16"/>
    <w:rsid w:val="003D78C4"/>
    <w:rsid w:val="007F4A80"/>
    <w:rsid w:val="00A14A16"/>
    <w:rsid w:val="00A5244E"/>
    <w:rsid w:val="00E478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7292D"/>
  <w15:docId w15:val="{5346BAD3-045C-4703-8E81-84D740180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 w:eastAsia="zh-CN" w:bidi="ar-SA"/>
      </w:rPr>
    </w:rPrDefault>
    <w:pPrDefault>
      <w:pPr>
        <w:spacing w:after="120"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C4"/>
  </w:style>
  <w:style w:type="paragraph" w:styleId="Heading1">
    <w:name w:val="heading 1"/>
    <w:basedOn w:val="Normal"/>
    <w:next w:val="Normal"/>
    <w:link w:val="Heading1Char"/>
    <w:uiPriority w:val="9"/>
    <w:qFormat/>
    <w:rsid w:val="003D78C4"/>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D78C4"/>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D78C4"/>
    <w:p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semiHidden/>
    <w:unhideWhenUsed/>
    <w:qFormat/>
    <w:rsid w:val="003D78C4"/>
    <w:p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3D78C4"/>
    <w:p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3D78C4"/>
    <w:p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3D78C4"/>
    <w:p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3D78C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D78C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3D78C4"/>
    <w:pPr>
      <w:spacing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3D78C4"/>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3D78C4"/>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D78C4"/>
    <w:rPr>
      <w:caps/>
      <w:color w:val="595959" w:themeColor="text1" w:themeTint="A6"/>
      <w:spacing w:val="10"/>
      <w:sz w:val="21"/>
      <w:szCs w:val="21"/>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BodyText"/>
    <w:pPr>
      <w:keepNext/>
      <w:keepLines/>
      <w:spacing w:before="100" w:after="300"/>
    </w:pPr>
  </w:style>
  <w:style w:type="paragraph" w:styleId="Bibliography">
    <w:name w:val="Bibliography"/>
    <w:basedOn w:val="Normal"/>
  </w:style>
  <w:style w:type="character" w:customStyle="1" w:styleId="Heading1Char">
    <w:name w:val="Heading 1 Char"/>
    <w:basedOn w:val="DefaultParagraphFont"/>
    <w:link w:val="Heading1"/>
    <w:uiPriority w:val="9"/>
    <w:rsid w:val="003D78C4"/>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semiHidden/>
    <w:rsid w:val="003D78C4"/>
    <w:rPr>
      <w:caps/>
      <w:spacing w:val="15"/>
      <w:shd w:val="clear" w:color="auto" w:fill="FBE6CD" w:themeFill="accent1" w:themeFillTint="33"/>
    </w:rPr>
  </w:style>
  <w:style w:type="character" w:customStyle="1" w:styleId="Heading3Char">
    <w:name w:val="Heading 3 Char"/>
    <w:basedOn w:val="DefaultParagraphFont"/>
    <w:link w:val="Heading3"/>
    <w:uiPriority w:val="9"/>
    <w:semiHidden/>
    <w:rsid w:val="003D78C4"/>
    <w:rPr>
      <w:caps/>
      <w:color w:val="714109" w:themeColor="accent1" w:themeShade="7F"/>
      <w:spacing w:val="15"/>
    </w:rPr>
  </w:style>
  <w:style w:type="character" w:customStyle="1" w:styleId="Heading4Char">
    <w:name w:val="Heading 4 Char"/>
    <w:basedOn w:val="DefaultParagraphFont"/>
    <w:link w:val="Heading4"/>
    <w:uiPriority w:val="9"/>
    <w:semiHidden/>
    <w:rsid w:val="003D78C4"/>
    <w:rPr>
      <w:caps/>
      <w:color w:val="AA610D" w:themeColor="accent1" w:themeShade="BF"/>
      <w:spacing w:val="10"/>
    </w:rPr>
  </w:style>
  <w:style w:type="character" w:customStyle="1" w:styleId="Heading5Char">
    <w:name w:val="Heading 5 Char"/>
    <w:basedOn w:val="DefaultParagraphFont"/>
    <w:link w:val="Heading5"/>
    <w:uiPriority w:val="9"/>
    <w:semiHidden/>
    <w:rsid w:val="003D78C4"/>
    <w:rPr>
      <w:caps/>
      <w:color w:val="AA610D" w:themeColor="accent1" w:themeShade="BF"/>
      <w:spacing w:val="10"/>
    </w:rPr>
  </w:style>
  <w:style w:type="character" w:customStyle="1" w:styleId="Heading6Char">
    <w:name w:val="Heading 6 Char"/>
    <w:basedOn w:val="DefaultParagraphFont"/>
    <w:link w:val="Heading6"/>
    <w:uiPriority w:val="9"/>
    <w:semiHidden/>
    <w:rsid w:val="003D78C4"/>
    <w:rPr>
      <w:caps/>
      <w:color w:val="AA610D" w:themeColor="accent1" w:themeShade="BF"/>
      <w:spacing w:val="10"/>
    </w:rPr>
  </w:style>
  <w:style w:type="character" w:customStyle="1" w:styleId="Heading7Char">
    <w:name w:val="Heading 7 Char"/>
    <w:basedOn w:val="DefaultParagraphFont"/>
    <w:link w:val="Heading7"/>
    <w:uiPriority w:val="9"/>
    <w:semiHidden/>
    <w:rsid w:val="003D78C4"/>
    <w:rPr>
      <w:caps/>
      <w:color w:val="AA610D" w:themeColor="accent1" w:themeShade="BF"/>
      <w:spacing w:val="10"/>
    </w:rPr>
  </w:style>
  <w:style w:type="character" w:customStyle="1" w:styleId="Heading8Char">
    <w:name w:val="Heading 8 Char"/>
    <w:basedOn w:val="DefaultParagraphFont"/>
    <w:link w:val="Heading8"/>
    <w:uiPriority w:val="9"/>
    <w:semiHidden/>
    <w:rsid w:val="003D78C4"/>
    <w:rPr>
      <w:caps/>
      <w:spacing w:val="10"/>
      <w:sz w:val="18"/>
      <w:szCs w:val="18"/>
    </w:rPr>
  </w:style>
  <w:style w:type="character" w:customStyle="1" w:styleId="Heading9Char">
    <w:name w:val="Heading 9 Char"/>
    <w:basedOn w:val="DefaultParagraphFont"/>
    <w:link w:val="Heading9"/>
    <w:uiPriority w:val="9"/>
    <w:semiHidden/>
    <w:rsid w:val="003D78C4"/>
    <w:rPr>
      <w:i/>
      <w:iCs/>
      <w:caps/>
      <w:spacing w:val="10"/>
      <w:sz w:val="18"/>
      <w:szCs w:val="1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3D78C4"/>
    <w:rPr>
      <w:b/>
      <w:bCs/>
      <w:color w:val="AA610D" w:themeColor="accent1" w:themeShade="BF"/>
      <w:sz w:val="16"/>
      <w:szCs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AA610D" w:themeColor="accent1" w:themeShade="BF"/>
      <w:sz w:val="16"/>
      <w:szCs w:val="16"/>
    </w:rPr>
  </w:style>
  <w:style w:type="character" w:customStyle="1" w:styleId="VerbatimChar">
    <w:name w:val="Verbatim Char"/>
    <w:basedOn w:val="CaptionChar"/>
    <w:link w:val="SourceCode"/>
    <w:rPr>
      <w:rFonts w:ascii="Consolas" w:hAnsi="Consolas"/>
      <w:b/>
      <w:bCs/>
      <w:color w:val="AA610D" w:themeColor="accent1" w:themeShade="BF"/>
      <w:sz w:val="22"/>
      <w:szCs w:val="16"/>
    </w:rPr>
  </w:style>
  <w:style w:type="character" w:customStyle="1" w:styleId="SectionNumber">
    <w:name w:val="Section Number"/>
    <w:basedOn w:val="CaptionChar"/>
    <w:rPr>
      <w:b/>
      <w:bCs/>
      <w:color w:val="AA610D" w:themeColor="accent1" w:themeShade="BF"/>
      <w:sz w:val="16"/>
      <w:szCs w:val="16"/>
    </w:rPr>
  </w:style>
  <w:style w:type="character" w:styleId="FootnoteReference">
    <w:name w:val="footnote reference"/>
    <w:basedOn w:val="CaptionChar"/>
    <w:rPr>
      <w:b/>
      <w:bCs/>
      <w:color w:val="AA610D" w:themeColor="accent1" w:themeShade="BF"/>
      <w:sz w:val="16"/>
      <w:szCs w:val="16"/>
      <w:vertAlign w:val="superscript"/>
    </w:rPr>
  </w:style>
  <w:style w:type="character" w:styleId="Hyperlink">
    <w:name w:val="Hyperlink"/>
    <w:basedOn w:val="CaptionChar"/>
    <w:rPr>
      <w:b/>
      <w:bCs/>
      <w:color w:val="E48312" w:themeColor="accent1"/>
      <w:sz w:val="16"/>
      <w:szCs w:val="16"/>
    </w:rPr>
  </w:style>
  <w:style w:type="paragraph" w:styleId="TOCHeading">
    <w:name w:val="TOC Heading"/>
    <w:basedOn w:val="Heading1"/>
    <w:next w:val="Normal"/>
    <w:uiPriority w:val="39"/>
    <w:unhideWhenUsed/>
    <w:qFormat/>
    <w:rsid w:val="003D78C4"/>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AA610D"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AA610D"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AA610D" w:themeColor="accent1" w:themeShade="BF"/>
      <w:sz w:val="22"/>
      <w:szCs w:val="16"/>
    </w:rPr>
  </w:style>
  <w:style w:type="character" w:styleId="Strong">
    <w:name w:val="Strong"/>
    <w:uiPriority w:val="22"/>
    <w:qFormat/>
    <w:rsid w:val="003D78C4"/>
    <w:rPr>
      <w:b/>
      <w:bCs/>
    </w:rPr>
  </w:style>
  <w:style w:type="character" w:styleId="Emphasis">
    <w:name w:val="Emphasis"/>
    <w:uiPriority w:val="20"/>
    <w:qFormat/>
    <w:rsid w:val="003D78C4"/>
    <w:rPr>
      <w:caps/>
      <w:color w:val="714109" w:themeColor="accent1" w:themeShade="7F"/>
      <w:spacing w:val="5"/>
    </w:rPr>
  </w:style>
  <w:style w:type="paragraph" w:styleId="NoSpacing">
    <w:name w:val="No Spacing"/>
    <w:uiPriority w:val="1"/>
    <w:qFormat/>
    <w:rsid w:val="003D78C4"/>
    <w:pPr>
      <w:spacing w:after="0" w:line="240" w:lineRule="auto"/>
    </w:pPr>
  </w:style>
  <w:style w:type="paragraph" w:styleId="Quote">
    <w:name w:val="Quote"/>
    <w:basedOn w:val="Normal"/>
    <w:next w:val="Normal"/>
    <w:link w:val="QuoteChar"/>
    <w:uiPriority w:val="29"/>
    <w:qFormat/>
    <w:rsid w:val="003D78C4"/>
    <w:rPr>
      <w:i/>
      <w:iCs/>
      <w:sz w:val="24"/>
      <w:szCs w:val="24"/>
    </w:rPr>
  </w:style>
  <w:style w:type="character" w:customStyle="1" w:styleId="QuoteChar">
    <w:name w:val="Quote Char"/>
    <w:basedOn w:val="DefaultParagraphFont"/>
    <w:link w:val="Quote"/>
    <w:uiPriority w:val="29"/>
    <w:rsid w:val="003D78C4"/>
    <w:rPr>
      <w:i/>
      <w:iCs/>
      <w:sz w:val="24"/>
      <w:szCs w:val="24"/>
    </w:rPr>
  </w:style>
  <w:style w:type="paragraph" w:styleId="IntenseQuote">
    <w:name w:val="Intense Quote"/>
    <w:basedOn w:val="Normal"/>
    <w:next w:val="Normal"/>
    <w:link w:val="IntenseQuoteChar"/>
    <w:uiPriority w:val="30"/>
    <w:qFormat/>
    <w:rsid w:val="003D78C4"/>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3D78C4"/>
    <w:rPr>
      <w:color w:val="E48312" w:themeColor="accent1"/>
      <w:sz w:val="24"/>
      <w:szCs w:val="24"/>
    </w:rPr>
  </w:style>
  <w:style w:type="character" w:styleId="SubtleEmphasis">
    <w:name w:val="Subtle Emphasis"/>
    <w:uiPriority w:val="19"/>
    <w:qFormat/>
    <w:rsid w:val="003D78C4"/>
    <w:rPr>
      <w:i/>
      <w:iCs/>
      <w:color w:val="714109" w:themeColor="accent1" w:themeShade="7F"/>
    </w:rPr>
  </w:style>
  <w:style w:type="character" w:styleId="IntenseEmphasis">
    <w:name w:val="Intense Emphasis"/>
    <w:uiPriority w:val="21"/>
    <w:qFormat/>
    <w:rsid w:val="003D78C4"/>
    <w:rPr>
      <w:b/>
      <w:bCs/>
      <w:caps/>
      <w:color w:val="714109" w:themeColor="accent1" w:themeShade="7F"/>
      <w:spacing w:val="10"/>
    </w:rPr>
  </w:style>
  <w:style w:type="character" w:styleId="SubtleReference">
    <w:name w:val="Subtle Reference"/>
    <w:uiPriority w:val="31"/>
    <w:qFormat/>
    <w:rsid w:val="003D78C4"/>
    <w:rPr>
      <w:b/>
      <w:bCs/>
      <w:color w:val="E48312" w:themeColor="accent1"/>
    </w:rPr>
  </w:style>
  <w:style w:type="character" w:styleId="IntenseReference">
    <w:name w:val="Intense Reference"/>
    <w:uiPriority w:val="32"/>
    <w:qFormat/>
    <w:rsid w:val="003D78C4"/>
    <w:rPr>
      <w:b/>
      <w:bCs/>
      <w:i/>
      <w:iCs/>
      <w:caps/>
      <w:color w:val="E48312" w:themeColor="accent1"/>
    </w:rPr>
  </w:style>
  <w:style w:type="character" w:styleId="BookTitle">
    <w:name w:val="Book Title"/>
    <w:uiPriority w:val="33"/>
    <w:qFormat/>
    <w:rsid w:val="003D78C4"/>
    <w:rPr>
      <w:b/>
      <w:bCs/>
      <w:i/>
      <w:iCs/>
      <w:spacing w:val="0"/>
    </w:rPr>
  </w:style>
  <w:style w:type="paragraph" w:styleId="Header">
    <w:name w:val="header"/>
    <w:basedOn w:val="Normal"/>
    <w:link w:val="HeaderChar"/>
    <w:rsid w:val="003D78C4"/>
    <w:pPr>
      <w:tabs>
        <w:tab w:val="center" w:pos="4680"/>
        <w:tab w:val="right" w:pos="9360"/>
      </w:tabs>
      <w:spacing w:after="0" w:line="240" w:lineRule="auto"/>
    </w:pPr>
  </w:style>
  <w:style w:type="character" w:customStyle="1" w:styleId="HeaderChar">
    <w:name w:val="Header Char"/>
    <w:basedOn w:val="DefaultParagraphFont"/>
    <w:link w:val="Header"/>
    <w:rsid w:val="003D78C4"/>
  </w:style>
  <w:style w:type="paragraph" w:styleId="Footer">
    <w:name w:val="footer"/>
    <w:basedOn w:val="Normal"/>
    <w:link w:val="FooterChar"/>
    <w:rsid w:val="003D78C4"/>
    <w:pPr>
      <w:tabs>
        <w:tab w:val="center" w:pos="4680"/>
        <w:tab w:val="right" w:pos="9360"/>
      </w:tabs>
      <w:spacing w:after="0" w:line="240" w:lineRule="auto"/>
    </w:pPr>
  </w:style>
  <w:style w:type="character" w:customStyle="1" w:styleId="FooterChar">
    <w:name w:val="Footer Char"/>
    <w:basedOn w:val="DefaultParagraphFont"/>
    <w:link w:val="Footer"/>
    <w:rsid w:val="003D78C4"/>
  </w:style>
  <w:style w:type="paragraph" w:styleId="ListParagraph">
    <w:name w:val="List Paragraph"/>
    <w:basedOn w:val="Normal"/>
    <w:uiPriority w:val="34"/>
    <w:qFormat/>
    <w:rsid w:val="003D78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Emam Abu Haifa</cp:lastModifiedBy>
  <cp:revision>4</cp:revision>
  <dcterms:created xsi:type="dcterms:W3CDTF">1970-01-01T00:00:00Z</dcterms:created>
  <dcterms:modified xsi:type="dcterms:W3CDTF">2026-09-29T09:12:00Z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420068ec-f488-44fa-9845-3815947d7973_Enabled">
    <vt:lpwstr>true</vt:lpwstr>
  </property>
  <property fmtid="{D5CDD505-2E9C-101B-9397-08002B2CF9AE}" pid="4" name="MSIP_Label_420068ec-f488-44fa-9845-3815947d7973_SetDate">
    <vt:lpwstr>2026-09-29T09:03:07Z</vt:lpwstr>
  </property>
  <property fmtid="{D5CDD505-2E9C-101B-9397-08002B2CF9AE}" pid="5" name="MSIP_Label_420068ec-f488-44fa-9845-3815947d7973_Method">
    <vt:lpwstr>Privileged</vt:lpwstr>
  </property>
  <property fmtid="{D5CDD505-2E9C-101B-9397-08002B2CF9AE}" pid="6" name="MSIP_Label_420068ec-f488-44fa-9845-3815947d7973_Name">
    <vt:lpwstr>Public</vt:lpwstr>
  </property>
  <property fmtid="{D5CDD505-2E9C-101B-9397-08002B2CF9AE}" pid="7" name="MSIP_Label_420068ec-f488-44fa-9845-3815947d7973_SiteId">
    <vt:lpwstr>ee7a994a-cae3-4e00-85bc-52fb0c8c1542</vt:lpwstr>
  </property>
  <property fmtid="{D5CDD505-2E9C-101B-9397-08002B2CF9AE}" pid="8" name="MSIP_Label_420068ec-f488-44fa-9845-3815947d7973_ActionId">
    <vt:lpwstr>1ac02d51-016d-4855-ac9a-5b8fef2dc21a</vt:lpwstr>
  </property>
  <property fmtid="{D5CDD505-2E9C-101B-9397-08002B2CF9AE}" pid="9" name="MSIP_Label_420068ec-f488-44fa-9845-3815947d7973_ContentBits">
    <vt:lpwstr>0</vt:lpwstr>
  </property>
  <property fmtid="{D5CDD505-2E9C-101B-9397-08002B2CF9AE}" pid="10" name="MSIP_Label_420068ec-f488-44fa-9845-3815947d7973_Tag">
    <vt:lpwstr>10, 0, 1, 1</vt:lpwstr>
  </property>
</Properties>
</file>