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&amp;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Marks</w:t>
            </w:r>
          </w:p>
        </w:tc>
      </w:tr>
    </w:tbl>
    <w:p/>
    <w:p>
      <w:pPr>
        <w:pStyle w:val="Heading1"/>
      </w:pPr>
      <w:r>
        <w:t>Step 1: Brainstorm and Idea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 Member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Idea / Suggestion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Category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RASHIN 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comic story creator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Generative AI / Creative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DINESH KUMAR 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automatic storyboarding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Generative AI / Storytelling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HARIHARAN 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 generation for each comic panel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Computer Vision / GenAI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KAVE VENDHAN GR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Automatic comic PDF exporter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Automation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ARAVINDAN 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Interactive comic preview with fallback handling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 Application</w:t>
            </w:r>
          </w:p>
        </w:tc>
      </w:tr>
    </w:tbl>
    <w:p/>
    <w:p>
      <w:pPr>
        <w:pStyle w:val="Heading1"/>
      </w:pPr>
      <w:r>
        <w:t>Step 2: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Group No.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Idea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Feasibility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Importance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Selected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AI-assisted comic story creator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automatic storyboarding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image generation for each comic panel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/>
    <w:p>
      <w:r>
        <w:t>The selected ideas are combined into ComicCraft, which converts a story idea into a five-panel illustrated comic and PDF.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