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 Marks</w:t>
            </w:r>
          </w:p>
        </w:tc>
      </w:tr>
    </w:tbl>
    <w:p/>
    <w:p>
      <w:pPr>
        <w:pStyle w:val="Heading1"/>
      </w:pPr>
      <w:r>
        <w:t>Define Your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S.No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Architecture Component / Layer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Technology Chosen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Justification / Purpose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Frontend / Client-Side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HTML5, Jinja2, CSS3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Browser UI for input, loading state, preview and export.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 / Server-Side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Python, FastAPI, Uvicorn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Routing, validation, orchestration, static files and API responses.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 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google-genai with configurable Gemini models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Five-panel outline and narration/dialogue generation.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 Image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Diffusers / Stable Diffusion locally; Hugging Face Spaces/router; FLUX/Stable Diffusion options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Panel artwork with fallback paths.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PDF / Media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FPDF2, Pillow, base64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PDF creation, image verification and preview embedding.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Validation / Configuration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Pydantic, pydantic-settings, python-dotenv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Input/schema validation and environment-based configuration.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pytest, httpx, FastAPI TestClient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Unit and end-to-end demo-mode testing.</w:t>
            </w:r>
          </w:p>
        </w:tc>
      </w:tr>
    </w:tbl>
    <w:p/>
    <w:p>
      <w:r>
        <w:t>No relational or NoSQL database is used; generated artifacts are file-based.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