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Scalability &amp; Future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>
        <w:pStyle w:val="Heading1"/>
      </w:pPr>
      <w:r>
        <w:t>Scalability &amp; Future Plan</w:t>
      </w:r>
    </w:p>
    <w:p>
      <w:pPr>
        <w:pStyle w:val="Heading1"/>
      </w:pPr>
      <w:r>
        <w:t>Current Scalability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Current Design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Upgrade / Solution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FastAPI process; no concurrent-load benchmark.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 ASGI deployment and concurrent workload measurement.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Provider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Configurable Gemini model lists and image backends with fallback logic.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abstraction, queues, retries and quotas.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Storage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JPEG and PDF files.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 storage plus metadata/history database.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Image-intensive; README states 1–3 minutes is typical for five images.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Job queues, workers, caching and metrics.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Environment secrets and safe PDF download.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Authentication, authorization, secret manager and production headers.</w:t>
            </w:r>
          </w:p>
        </w:tc>
      </w:tr>
    </w:tbl>
    <w:p/>
    <w:p>
      <w:pPr>
        <w:pStyle w:val="Heading1"/>
      </w:pPr>
      <w:r>
        <w:t>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Planned Feature / Enhancement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Target Timeline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Impact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authentication and comic history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Save and revisit generated comics.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Persistent storage and cloud deployment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Multi-user access and scalable artifacts.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More art styles, models, editing and panel regeneration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Greater creative control.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 monitoring and queued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Higher throughput and reliability.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