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5D041" w14:textId="77777777" w:rsidR="00F77CF1" w:rsidRDefault="00821DE7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Petr Gronat</w:t>
      </w:r>
    </w:p>
    <w:p w14:paraId="22E303DD" w14:textId="77777777" w:rsidR="00F77CF1" w:rsidRDefault="00821DE7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petr.gronat@inria.fr</w:t>
      </w:r>
    </w:p>
    <w:p w14:paraId="7A17FC3D" w14:textId="77777777" w:rsidR="00F77CF1" w:rsidRDefault="00821DE7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INRIA Paris</w:t>
      </w:r>
    </w:p>
    <w:p w14:paraId="64EB0A2F" w14:textId="64441B1D" w:rsidR="00F77CF1" w:rsidRPr="008751E0" w:rsidRDefault="00821DE7" w:rsidP="008751E0">
      <w:pPr>
        <w:jc w:val="righ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23 av. d'Italie </w:t>
      </w:r>
      <w:r>
        <w:rPr>
          <w:rFonts w:ascii="sans-serif" w:hAnsi="sans-serif"/>
          <w:sz w:val="20"/>
          <w:szCs w:val="20"/>
        </w:rPr>
        <w:br/>
        <w:t>75013, Paris</w:t>
      </w:r>
      <w:r>
        <w:rPr>
          <w:rFonts w:ascii="sans-serif" w:hAnsi="sans-serif"/>
          <w:sz w:val="20"/>
          <w:szCs w:val="20"/>
        </w:rPr>
        <w:br/>
        <w:t>France</w:t>
      </w:r>
    </w:p>
    <w:p w14:paraId="27F29839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Dear Editor / Reviewer,</w:t>
      </w:r>
    </w:p>
    <w:p w14:paraId="20C692CF" w14:textId="77777777" w:rsidR="00F77CF1" w:rsidRDefault="00F77CF1"/>
    <w:p w14:paraId="7CFAC957" w14:textId="77777777" w:rsidR="008957A0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 would like to take this opportunity to explain the relationship of this manuscript to our previous publication [1] </w:t>
      </w:r>
      <w:r>
        <w:rPr>
          <w:rFonts w:ascii="Snas-serif" w:hAnsi="Snas-serif"/>
          <w:sz w:val="20"/>
          <w:szCs w:val="20"/>
        </w:rPr>
        <w:t>“Learning and calibrating per-location classifiers for visual place recognition”</w:t>
      </w:r>
      <w:r w:rsidR="008957A0">
        <w:rPr>
          <w:rFonts w:ascii="sans-serif" w:hAnsi="sans-serif"/>
          <w:sz w:val="20"/>
          <w:szCs w:val="20"/>
        </w:rPr>
        <w:t>. Most significantly:</w:t>
      </w:r>
    </w:p>
    <w:p w14:paraId="3C0B0D03" w14:textId="24D54A0C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We have </w:t>
      </w:r>
      <w:r w:rsidR="00821DE7" w:rsidRPr="008957A0">
        <w:rPr>
          <w:rFonts w:ascii="sans-serif" w:hAnsi="sans-serif"/>
          <w:sz w:val="20"/>
          <w:szCs w:val="20"/>
        </w:rPr>
        <w:t>added a new section 5 that describes a special form of affine calibration that does not require construction of empiric</w:t>
      </w:r>
      <w:r w:rsidR="008751E0">
        <w:rPr>
          <w:rFonts w:ascii="sans-serif" w:hAnsi="sans-serif"/>
          <w:sz w:val="20"/>
          <w:szCs w:val="20"/>
        </w:rPr>
        <w:t>al cumulative density function.</w:t>
      </w:r>
    </w:p>
    <w:p w14:paraId="0EFEF00E" w14:textId="33BF6E3D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We have </w:t>
      </w:r>
      <w:r w:rsidR="00821DE7" w:rsidRPr="008957A0">
        <w:rPr>
          <w:rFonts w:ascii="sans-serif" w:hAnsi="sans-serif"/>
          <w:sz w:val="20"/>
          <w:szCs w:val="20"/>
        </w:rPr>
        <w:t>added new section 6 that describes new memory effi</w:t>
      </w:r>
      <w:r w:rsidR="008751E0">
        <w:rPr>
          <w:rFonts w:ascii="sans-serif" w:hAnsi="sans-serif"/>
          <w:sz w:val="20"/>
          <w:szCs w:val="20"/>
        </w:rPr>
        <w:t>cient classifier representation.</w:t>
      </w:r>
      <w:r w:rsidR="00821DE7" w:rsidRPr="008957A0">
        <w:rPr>
          <w:rFonts w:ascii="sans-serif" w:hAnsi="sans-serif"/>
          <w:sz w:val="20"/>
          <w:szCs w:val="20"/>
        </w:rPr>
        <w:t xml:space="preserve"> </w:t>
      </w:r>
    </w:p>
    <w:p w14:paraId="654BF2E5" w14:textId="7209572B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We </w:t>
      </w:r>
      <w:r w:rsidR="00821DE7" w:rsidRPr="008957A0">
        <w:rPr>
          <w:rFonts w:ascii="sans-serif" w:hAnsi="sans-serif"/>
          <w:sz w:val="20"/>
          <w:szCs w:val="20"/>
        </w:rPr>
        <w:t xml:space="preserve">provide additional results </w:t>
      </w:r>
      <w:r w:rsidR="008751E0">
        <w:rPr>
          <w:rFonts w:ascii="sans-serif" w:hAnsi="sans-serif"/>
          <w:sz w:val="20"/>
          <w:szCs w:val="20"/>
        </w:rPr>
        <w:t xml:space="preserve">in section 8 including: </w:t>
      </w:r>
      <w:r>
        <w:rPr>
          <w:rFonts w:ascii="sans-serif" w:hAnsi="sans-serif"/>
          <w:sz w:val="20"/>
          <w:szCs w:val="20"/>
        </w:rPr>
        <w:t xml:space="preserve">(i) </w:t>
      </w:r>
      <w:r w:rsidR="008751E0">
        <w:rPr>
          <w:rFonts w:ascii="sans-serif" w:hAnsi="sans-serif"/>
          <w:sz w:val="20"/>
          <w:szCs w:val="20"/>
        </w:rPr>
        <w:t xml:space="preserve">an </w:t>
      </w:r>
      <w:r w:rsidR="00821DE7" w:rsidRPr="008957A0">
        <w:rPr>
          <w:rFonts w:ascii="sans-serif" w:hAnsi="sans-serif"/>
          <w:sz w:val="20"/>
          <w:szCs w:val="20"/>
        </w:rPr>
        <w:t>analysis of recognition accura</w:t>
      </w:r>
      <w:r>
        <w:rPr>
          <w:rFonts w:ascii="sans-serif" w:hAnsi="sans-serif"/>
          <w:sz w:val="20"/>
          <w:szCs w:val="20"/>
        </w:rPr>
        <w:t>cy vs. compactness (</w:t>
      </w:r>
      <w:r w:rsidR="008751E0">
        <w:rPr>
          <w:rFonts w:ascii="sans-serif" w:hAnsi="sans-serif"/>
          <w:sz w:val="20"/>
          <w:szCs w:val="20"/>
        </w:rPr>
        <w:t xml:space="preserve">section 8.3 and </w:t>
      </w:r>
      <w:r>
        <w:rPr>
          <w:rFonts w:ascii="sans-serif" w:hAnsi="sans-serif"/>
          <w:sz w:val="20"/>
          <w:szCs w:val="20"/>
        </w:rPr>
        <w:t xml:space="preserve">figure ***), (ii) </w:t>
      </w:r>
      <w:r w:rsidRPr="008957A0">
        <w:rPr>
          <w:rFonts w:ascii="sans-serif" w:hAnsi="sans-serif"/>
          <w:sz w:val="20"/>
          <w:szCs w:val="20"/>
        </w:rPr>
        <w:t xml:space="preserve">evaluation </w:t>
      </w:r>
      <w:r w:rsidR="00821DE7" w:rsidRPr="008957A0">
        <w:rPr>
          <w:rFonts w:ascii="sans-serif" w:hAnsi="sans-serif"/>
          <w:sz w:val="20"/>
          <w:szCs w:val="20"/>
        </w:rPr>
        <w:t xml:space="preserve">of the </w:t>
      </w:r>
      <w:r w:rsidRPr="008957A0">
        <w:rPr>
          <w:rFonts w:ascii="sans-serif" w:hAnsi="sans-serif"/>
          <w:sz w:val="20"/>
          <w:szCs w:val="20"/>
        </w:rPr>
        <w:t xml:space="preserve">new affine </w:t>
      </w:r>
      <w:r w:rsidR="00821DE7" w:rsidRPr="008957A0">
        <w:rPr>
          <w:rFonts w:ascii="sans-serif" w:hAnsi="sans-serif"/>
          <w:sz w:val="20"/>
          <w:szCs w:val="20"/>
        </w:rPr>
        <w:t>calibration</w:t>
      </w:r>
      <w:r w:rsidRPr="008957A0">
        <w:rPr>
          <w:rFonts w:ascii="sans-serif" w:hAnsi="sans-serif"/>
          <w:sz w:val="20"/>
          <w:szCs w:val="20"/>
        </w:rPr>
        <w:t xml:space="preserve"> method (table 3)</w:t>
      </w:r>
      <w:r w:rsidR="00821DE7" w:rsidRPr="008957A0">
        <w:rPr>
          <w:rFonts w:ascii="sans-serif" w:hAnsi="sans-serif"/>
          <w:sz w:val="20"/>
          <w:szCs w:val="20"/>
        </w:rPr>
        <w:t xml:space="preserve">, </w:t>
      </w:r>
      <w:r>
        <w:rPr>
          <w:rFonts w:ascii="sans-serif" w:hAnsi="sans-serif"/>
          <w:sz w:val="20"/>
          <w:szCs w:val="20"/>
        </w:rPr>
        <w:t xml:space="preserve">(iii) results </w:t>
      </w:r>
      <w:r w:rsidR="002F4F73">
        <w:rPr>
          <w:rFonts w:ascii="sans-serif" w:hAnsi="sans-serif"/>
          <w:sz w:val="20"/>
          <w:szCs w:val="20"/>
        </w:rPr>
        <w:t>using</w:t>
      </w:r>
      <w:bookmarkStart w:id="0" w:name="_GoBack"/>
      <w:bookmarkEnd w:id="0"/>
      <w:r>
        <w:rPr>
          <w:rFonts w:ascii="sans-serif" w:hAnsi="sans-serif"/>
          <w:sz w:val="20"/>
          <w:szCs w:val="20"/>
        </w:rPr>
        <w:t xml:space="preserve"> compact Fisher vector descriptors (</w:t>
      </w:r>
      <w:r w:rsidR="008751E0">
        <w:rPr>
          <w:rFonts w:ascii="sans-serif" w:hAnsi="sans-serif"/>
          <w:sz w:val="20"/>
          <w:szCs w:val="20"/>
        </w:rPr>
        <w:t xml:space="preserve">section 8.2, </w:t>
      </w:r>
      <w:r>
        <w:rPr>
          <w:rFonts w:ascii="sans-serif" w:hAnsi="sans-serif"/>
          <w:sz w:val="20"/>
          <w:szCs w:val="20"/>
        </w:rPr>
        <w:t>table *** and figure ***)</w:t>
      </w:r>
      <w:r w:rsidR="008751E0">
        <w:rPr>
          <w:rFonts w:ascii="sans-serif" w:hAnsi="sans-serif"/>
          <w:sz w:val="20"/>
          <w:szCs w:val="20"/>
        </w:rPr>
        <w:t>,</w:t>
      </w:r>
      <w:r>
        <w:rPr>
          <w:rFonts w:ascii="sans-serif" w:hAnsi="sans-serif"/>
          <w:sz w:val="20"/>
          <w:szCs w:val="20"/>
        </w:rPr>
        <w:t xml:space="preserve"> and (iv) </w:t>
      </w:r>
      <w:r w:rsidR="00821DE7" w:rsidRPr="008957A0">
        <w:rPr>
          <w:rFonts w:ascii="sans-serif" w:hAnsi="sans-serif"/>
          <w:sz w:val="20"/>
          <w:szCs w:val="20"/>
        </w:rPr>
        <w:t>new qualitat</w:t>
      </w:r>
      <w:r w:rsidRPr="008957A0">
        <w:rPr>
          <w:rFonts w:ascii="sans-serif" w:hAnsi="sans-serif"/>
          <w:sz w:val="20"/>
          <w:szCs w:val="20"/>
        </w:rPr>
        <w:t>ive examples (figure ***)</w:t>
      </w:r>
      <w:r w:rsidR="0041150F">
        <w:rPr>
          <w:rFonts w:ascii="sans-serif" w:hAnsi="sans-serif"/>
          <w:sz w:val="20"/>
          <w:szCs w:val="20"/>
        </w:rPr>
        <w:t>.</w:t>
      </w:r>
    </w:p>
    <w:p w14:paraId="2DB222AB" w14:textId="77777777" w:rsidR="008957A0" w:rsidRDefault="008957A0" w:rsidP="008957A0">
      <w:pPr>
        <w:pStyle w:val="ListParagraph"/>
        <w:numPr>
          <w:ilvl w:val="0"/>
          <w:numId w:val="2"/>
        </w:numPr>
        <w:rPr>
          <w:rFonts w:ascii="sans-serif" w:hAnsi="sans-serif"/>
          <w:sz w:val="20"/>
          <w:szCs w:val="20"/>
        </w:rPr>
      </w:pPr>
      <w:r w:rsidRPr="008957A0">
        <w:rPr>
          <w:rFonts w:ascii="sans-serif" w:hAnsi="sans-serif"/>
          <w:sz w:val="20"/>
          <w:szCs w:val="20"/>
        </w:rPr>
        <w:t xml:space="preserve"> </w:t>
      </w:r>
      <w:r>
        <w:rPr>
          <w:rFonts w:ascii="sans-serif" w:hAnsi="sans-serif"/>
          <w:sz w:val="20"/>
          <w:szCs w:val="20"/>
        </w:rPr>
        <w:t>W</w:t>
      </w:r>
      <w:r w:rsidR="00821DE7" w:rsidRPr="008957A0">
        <w:rPr>
          <w:rFonts w:ascii="sans-serif" w:hAnsi="sans-serif"/>
          <w:sz w:val="20"/>
          <w:szCs w:val="20"/>
        </w:rPr>
        <w:t xml:space="preserve">e have included additional details such as pseudo code for the p-value calibration in Algorithm I and Algorithm II. </w:t>
      </w:r>
    </w:p>
    <w:p w14:paraId="25E8CE0B" w14:textId="77777777" w:rsidR="008957A0" w:rsidRDefault="008957A0" w:rsidP="008957A0">
      <w:pPr>
        <w:pStyle w:val="ListParagraph"/>
        <w:rPr>
          <w:rFonts w:ascii="sans-serif" w:hAnsi="sans-serif"/>
          <w:sz w:val="20"/>
          <w:szCs w:val="20"/>
        </w:rPr>
      </w:pPr>
    </w:p>
    <w:p w14:paraId="6F354041" w14:textId="77777777" w:rsidR="00F77CF1" w:rsidRPr="008957A0" w:rsidRDefault="00821DE7" w:rsidP="008957A0">
      <w:pPr>
        <w:rPr>
          <w:rFonts w:ascii="sans-serif" w:hAnsi="sans-serif"/>
          <w:sz w:val="20"/>
          <w:szCs w:val="20"/>
        </w:rPr>
      </w:pPr>
      <w:r w:rsidRPr="008957A0">
        <w:rPr>
          <w:rFonts w:ascii="sans-serif" w:hAnsi="sans-serif"/>
          <w:sz w:val="20"/>
          <w:szCs w:val="20"/>
        </w:rPr>
        <w:t>The difference</w:t>
      </w:r>
      <w:r w:rsidR="008957A0">
        <w:rPr>
          <w:rFonts w:ascii="sans-serif" w:hAnsi="sans-serif"/>
          <w:sz w:val="20"/>
          <w:szCs w:val="20"/>
        </w:rPr>
        <w:t>s are explained in detail below.</w:t>
      </w:r>
    </w:p>
    <w:p w14:paraId="68EEE9A8" w14:textId="77777777" w:rsidR="00F77CF1" w:rsidRDefault="00F77CF1"/>
    <w:p w14:paraId="3086CF8A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1</w:t>
      </w:r>
      <w:r>
        <w:rPr>
          <w:rFonts w:ascii="sans-serif" w:hAnsi="sans-serif"/>
          <w:sz w:val="20"/>
          <w:szCs w:val="20"/>
        </w:rPr>
        <w:t xml:space="preserve"> This introduction section is an extension </w:t>
      </w:r>
      <w:r w:rsidR="008957A0">
        <w:rPr>
          <w:rFonts w:ascii="sans-serif" w:hAnsi="sans-serif"/>
          <w:sz w:val="20"/>
          <w:szCs w:val="20"/>
        </w:rPr>
        <w:t xml:space="preserve">of introduction from </w:t>
      </w:r>
      <w:r>
        <w:rPr>
          <w:rFonts w:ascii="sans-serif" w:hAnsi="sans-serif"/>
          <w:sz w:val="20"/>
          <w:szCs w:val="20"/>
        </w:rPr>
        <w:t>[1].</w:t>
      </w:r>
    </w:p>
    <w:p w14:paraId="3ED49E20" w14:textId="77777777" w:rsidR="00F77CF1" w:rsidRDefault="00F77CF1"/>
    <w:p w14:paraId="7DC305EA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2</w:t>
      </w:r>
      <w:r>
        <w:rPr>
          <w:rFonts w:ascii="sans-serif" w:hAnsi="sans-serif"/>
          <w:sz w:val="20"/>
          <w:szCs w:val="20"/>
        </w:rPr>
        <w:t xml:space="preserve"> This is a new section addressing related work</w:t>
      </w:r>
      <w:r w:rsidR="008957A0">
        <w:rPr>
          <w:rFonts w:ascii="sans-serif" w:hAnsi="sans-serif"/>
          <w:sz w:val="20"/>
          <w:szCs w:val="20"/>
        </w:rPr>
        <w:t>,</w:t>
      </w:r>
      <w:r>
        <w:rPr>
          <w:rFonts w:ascii="sans-serif" w:hAnsi="sans-serif"/>
          <w:sz w:val="20"/>
          <w:szCs w:val="20"/>
        </w:rPr>
        <w:t xml:space="preserve"> which addresses state-of-the-art methods for place recognition, per-exemplar support vector machines and classifier score calibration methods.</w:t>
      </w:r>
    </w:p>
    <w:p w14:paraId="3DC6EF79" w14:textId="77777777" w:rsidR="00F77CF1" w:rsidRDefault="00F77CF1"/>
    <w:p w14:paraId="13DDCC67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3</w:t>
      </w:r>
      <w:r>
        <w:rPr>
          <w:rFonts w:ascii="sans-serif" w:hAnsi="sans-serif"/>
          <w:sz w:val="20"/>
          <w:szCs w:val="20"/>
        </w:rPr>
        <w:t xml:space="preserve"> This section corresponds to Section 2 of  [1], a new paragraph (Section 3.2) that motivates the calibrating classifier scores has been added.</w:t>
      </w:r>
    </w:p>
    <w:p w14:paraId="3EF73DEC" w14:textId="77777777" w:rsidR="00F77CF1" w:rsidRDefault="00F77CF1"/>
    <w:p w14:paraId="2E0F4A8C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4</w:t>
      </w:r>
      <w:r>
        <w:rPr>
          <w:rFonts w:ascii="sans-serif" w:hAnsi="sans-serif"/>
          <w:sz w:val="20"/>
          <w:szCs w:val="20"/>
        </w:rPr>
        <w:t xml:space="preserve"> This section extends Section 3 of [1]. This section contains a new subsection 4.3 that summarizes the calibration procedure. It also contains new pseudo codes (Algorithm I, Algorithm II) describing the p-value calibration in offline and online stage. </w:t>
      </w:r>
    </w:p>
    <w:p w14:paraId="1BAB9F19" w14:textId="77777777" w:rsidR="00F77CF1" w:rsidRDefault="00F77CF1"/>
    <w:p w14:paraId="22034B70" w14:textId="56797BE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5</w:t>
      </w:r>
      <w:r>
        <w:rPr>
          <w:rFonts w:ascii="sans-serif" w:hAnsi="sans-serif"/>
          <w:sz w:val="20"/>
          <w:szCs w:val="20"/>
        </w:rPr>
        <w:t xml:space="preserve"> This is a</w:t>
      </w:r>
      <w:r>
        <w:rPr>
          <w:rFonts w:ascii="sans-serif" w:hAnsi="sans-serif"/>
          <w:b/>
          <w:sz w:val="20"/>
          <w:szCs w:val="20"/>
        </w:rPr>
        <w:t xml:space="preserve"> </w:t>
      </w:r>
      <w:r>
        <w:rPr>
          <w:rFonts w:ascii="sans-serif" w:hAnsi="sans-serif"/>
          <w:sz w:val="20"/>
          <w:szCs w:val="20"/>
        </w:rPr>
        <w:t xml:space="preserve">new section that addresses </w:t>
      </w:r>
      <w:r w:rsidR="008957A0">
        <w:rPr>
          <w:rFonts w:ascii="sans-serif" w:hAnsi="sans-serif"/>
          <w:sz w:val="20"/>
          <w:szCs w:val="20"/>
        </w:rPr>
        <w:t xml:space="preserve">the </w:t>
      </w:r>
      <w:r>
        <w:rPr>
          <w:rFonts w:ascii="sans-serif" w:hAnsi="sans-serif"/>
          <w:sz w:val="20"/>
          <w:szCs w:val="20"/>
        </w:rPr>
        <w:t xml:space="preserve">complexity of p-value calibration and proposes </w:t>
      </w:r>
      <w:r w:rsidR="00CC1F85">
        <w:rPr>
          <w:rFonts w:ascii="sans-serif" w:hAnsi="sans-serif"/>
          <w:sz w:val="20"/>
          <w:szCs w:val="20"/>
        </w:rPr>
        <w:t xml:space="preserve">an affine </w:t>
      </w:r>
      <w:r>
        <w:rPr>
          <w:rFonts w:ascii="sans-serif" w:hAnsi="sans-serif"/>
          <w:sz w:val="20"/>
          <w:szCs w:val="20"/>
        </w:rPr>
        <w:t>classifier calibration</w:t>
      </w:r>
      <w:r w:rsidR="00E079CB">
        <w:rPr>
          <w:rFonts w:ascii="sans-serif" w:hAnsi="sans-serif"/>
          <w:sz w:val="20"/>
          <w:szCs w:val="20"/>
        </w:rPr>
        <w:t xml:space="preserve"> by renormalization that does not need any positive or negative training data</w:t>
      </w:r>
      <w:r>
        <w:rPr>
          <w:rFonts w:ascii="sans-serif" w:hAnsi="sans-serif"/>
          <w:sz w:val="20"/>
          <w:szCs w:val="20"/>
        </w:rPr>
        <w:t xml:space="preserve">. </w:t>
      </w:r>
    </w:p>
    <w:p w14:paraId="7371DADB" w14:textId="77777777" w:rsidR="00F77CF1" w:rsidRDefault="00F77CF1"/>
    <w:p w14:paraId="1DFD7AAE" w14:textId="419C3321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Section 6 </w:t>
      </w:r>
      <w:r>
        <w:rPr>
          <w:rFonts w:ascii="sans-serif" w:hAnsi="sans-serif"/>
          <w:sz w:val="20"/>
          <w:szCs w:val="20"/>
        </w:rPr>
        <w:t xml:space="preserve">This is a new section that addresses efficient representation of the classifiers. It first motivates </w:t>
      </w:r>
      <w:r w:rsidR="008A0611">
        <w:rPr>
          <w:rFonts w:ascii="sans-serif" w:hAnsi="sans-serif"/>
          <w:sz w:val="20"/>
          <w:szCs w:val="20"/>
        </w:rPr>
        <w:t xml:space="preserve">the </w:t>
      </w:r>
      <w:r w:rsidR="008957A0">
        <w:rPr>
          <w:rFonts w:ascii="sans-serif" w:hAnsi="sans-serif"/>
          <w:sz w:val="20"/>
          <w:szCs w:val="20"/>
        </w:rPr>
        <w:t xml:space="preserve">need for </w:t>
      </w:r>
      <w:r>
        <w:rPr>
          <w:rFonts w:ascii="sans-serif" w:hAnsi="sans-serif"/>
          <w:sz w:val="20"/>
          <w:szCs w:val="20"/>
        </w:rPr>
        <w:t xml:space="preserve">compact classifier representation and </w:t>
      </w:r>
      <w:r w:rsidR="008957A0">
        <w:rPr>
          <w:rFonts w:ascii="sans-serif" w:hAnsi="sans-serif"/>
          <w:sz w:val="20"/>
          <w:szCs w:val="20"/>
        </w:rPr>
        <w:t xml:space="preserve">then </w:t>
      </w:r>
      <w:r>
        <w:rPr>
          <w:rFonts w:ascii="sans-serif" w:hAnsi="sans-serif"/>
          <w:sz w:val="20"/>
          <w:szCs w:val="20"/>
        </w:rPr>
        <w:t>it proposes an efficient representation based</w:t>
      </w:r>
      <w:r w:rsidR="008957A0">
        <w:rPr>
          <w:rFonts w:ascii="sans-serif" w:hAnsi="sans-serif"/>
          <w:sz w:val="20"/>
          <w:szCs w:val="20"/>
        </w:rPr>
        <w:t xml:space="preserve"> on dual form of the learnt SVMs</w:t>
      </w:r>
      <w:r>
        <w:rPr>
          <w:rFonts w:ascii="sans-serif" w:hAnsi="sans-serif"/>
          <w:sz w:val="20"/>
          <w:szCs w:val="20"/>
        </w:rPr>
        <w:t xml:space="preserve">. </w:t>
      </w:r>
    </w:p>
    <w:p w14:paraId="2ABB2912" w14:textId="77777777" w:rsidR="00E079CB" w:rsidRDefault="00E079CB"/>
    <w:p w14:paraId="20581923" w14:textId="0F152CF8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7</w:t>
      </w:r>
      <w:r w:rsidR="00E079CB">
        <w:rPr>
          <w:rFonts w:ascii="sans-serif" w:hAnsi="sans-serif"/>
          <w:sz w:val="20"/>
          <w:szCs w:val="20"/>
        </w:rPr>
        <w:t xml:space="preserve"> This</w:t>
      </w:r>
      <w:r>
        <w:rPr>
          <w:rFonts w:ascii="sans-serif" w:hAnsi="sans-serif"/>
          <w:sz w:val="20"/>
          <w:szCs w:val="20"/>
        </w:rPr>
        <w:t xml:space="preserve"> section extends Section 4 of [1]</w:t>
      </w:r>
      <w:r w:rsidR="00CC1F85">
        <w:rPr>
          <w:rFonts w:ascii="sans-serif" w:hAnsi="sans-serif"/>
          <w:sz w:val="20"/>
          <w:szCs w:val="20"/>
        </w:rPr>
        <w:t>.</w:t>
      </w:r>
    </w:p>
    <w:p w14:paraId="6EC928D5" w14:textId="77777777" w:rsidR="00F77CF1" w:rsidRDefault="00F77CF1"/>
    <w:p w14:paraId="78091853" w14:textId="128AB569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>Section 8</w:t>
      </w:r>
      <w:r>
        <w:rPr>
          <w:rFonts w:ascii="sans-serif" w:hAnsi="sans-serif"/>
          <w:sz w:val="20"/>
          <w:szCs w:val="20"/>
        </w:rPr>
        <w:t xml:space="preserve"> </w:t>
      </w:r>
      <w:r w:rsidR="00CC1F85">
        <w:rPr>
          <w:rFonts w:ascii="sans-serif" w:hAnsi="sans-serif"/>
          <w:sz w:val="20"/>
          <w:szCs w:val="20"/>
        </w:rPr>
        <w:t xml:space="preserve">While [1] includes results only for the bag-of-visual-words </w:t>
      </w:r>
      <w:r w:rsidR="005D0A46">
        <w:rPr>
          <w:rFonts w:ascii="sans-serif" w:hAnsi="sans-serif"/>
          <w:sz w:val="20"/>
          <w:szCs w:val="20"/>
        </w:rPr>
        <w:t>representation,</w:t>
      </w:r>
      <w:r w:rsidR="00CC1F85">
        <w:rPr>
          <w:rFonts w:ascii="sans-serif" w:hAnsi="sans-serif"/>
          <w:sz w:val="20"/>
          <w:szCs w:val="20"/>
        </w:rPr>
        <w:t xml:space="preserve"> we have added new results on the compact Fisher vector descriptors (section 8.2) and </w:t>
      </w:r>
      <w:r>
        <w:rPr>
          <w:rFonts w:ascii="sans-serif" w:hAnsi="sans-serif"/>
          <w:sz w:val="20"/>
          <w:szCs w:val="20"/>
        </w:rPr>
        <w:t xml:space="preserve">an analysis of recognition </w:t>
      </w:r>
      <w:r w:rsidR="00CC1F85">
        <w:rPr>
          <w:rFonts w:ascii="sans-serif" w:hAnsi="sans-serif"/>
          <w:sz w:val="20"/>
          <w:szCs w:val="20"/>
        </w:rPr>
        <w:t xml:space="preserve">accuracy </w:t>
      </w:r>
      <w:r>
        <w:rPr>
          <w:rFonts w:ascii="sans-serif" w:hAnsi="sans-serif"/>
          <w:sz w:val="20"/>
          <w:szCs w:val="20"/>
        </w:rPr>
        <w:t xml:space="preserve">vs. </w:t>
      </w:r>
      <w:r w:rsidR="00CC1F85">
        <w:rPr>
          <w:rFonts w:ascii="sans-serif" w:hAnsi="sans-serif"/>
          <w:sz w:val="20"/>
          <w:szCs w:val="20"/>
        </w:rPr>
        <w:t>compactness (</w:t>
      </w:r>
      <w:r w:rsidR="008A0611">
        <w:rPr>
          <w:rFonts w:ascii="sans-serif" w:hAnsi="sans-serif"/>
          <w:sz w:val="20"/>
          <w:szCs w:val="20"/>
        </w:rPr>
        <w:t>section 8.3).</w:t>
      </w:r>
    </w:p>
    <w:p w14:paraId="5E543C88" w14:textId="56A662B6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</w:t>
      </w:r>
    </w:p>
    <w:p w14:paraId="04D6EF12" w14:textId="461D11E3" w:rsidR="00F77CF1" w:rsidRPr="008751E0" w:rsidRDefault="008A0611">
      <w:pPr>
        <w:rPr>
          <w:rFonts w:ascii="sans-serif" w:hAnsi="sans-serif"/>
          <w:b/>
          <w:sz w:val="20"/>
          <w:szCs w:val="20"/>
        </w:rPr>
      </w:pPr>
      <w:r w:rsidRPr="008A0611">
        <w:rPr>
          <w:rFonts w:ascii="sans-serif" w:hAnsi="sans-serif"/>
          <w:b/>
          <w:sz w:val="20"/>
          <w:szCs w:val="20"/>
        </w:rPr>
        <w:t>Appendix.</w:t>
      </w:r>
      <w:r>
        <w:rPr>
          <w:rFonts w:ascii="sans-serif" w:hAnsi="sans-serif"/>
          <w:b/>
          <w:sz w:val="20"/>
          <w:szCs w:val="20"/>
        </w:rPr>
        <w:t xml:space="preserve"> </w:t>
      </w:r>
      <w:r w:rsidRPr="008A0611">
        <w:rPr>
          <w:rFonts w:ascii="sans-serif" w:hAnsi="sans-serif"/>
          <w:sz w:val="20"/>
          <w:szCs w:val="20"/>
        </w:rPr>
        <w:t>We have</w:t>
      </w:r>
      <w:r>
        <w:rPr>
          <w:rFonts w:ascii="sans-serif" w:hAnsi="sans-serif"/>
          <w:sz w:val="20"/>
          <w:szCs w:val="20"/>
        </w:rPr>
        <w:t xml:space="preserve"> added an appendix that contains an analysis of the per-exemplar SVM objective that provides additional intuition for the calibration by normalization.</w:t>
      </w:r>
    </w:p>
    <w:p w14:paraId="3D4CEB27" w14:textId="77777777" w:rsidR="00F77CF1" w:rsidRDefault="00F77CF1"/>
    <w:p w14:paraId="4AE60518" w14:textId="77777777" w:rsidR="00F77CF1" w:rsidRDefault="00F77CF1"/>
    <w:p w14:paraId="755E3FF5" w14:textId="77777777" w:rsidR="00F77CF1" w:rsidRDefault="00F77CF1"/>
    <w:p w14:paraId="3BC89CD4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Kind regards</w:t>
      </w:r>
    </w:p>
    <w:p w14:paraId="1A35508D" w14:textId="77777777" w:rsidR="00F77CF1" w:rsidRDefault="00821DE7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Petr Gronat</w:t>
      </w:r>
    </w:p>
    <w:sectPr w:rsidR="00F77CF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ns-serif">
    <w:altName w:val="Arial"/>
    <w:charset w:val="01"/>
    <w:family w:val="roman"/>
    <w:pitch w:val="variable"/>
  </w:font>
  <w:font w:name="Snas-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BDE"/>
    <w:multiLevelType w:val="hybridMultilevel"/>
    <w:tmpl w:val="70B2E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20E02"/>
    <w:multiLevelType w:val="hybridMultilevel"/>
    <w:tmpl w:val="DC986048"/>
    <w:lvl w:ilvl="0" w:tplc="510EF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characterSpacingControl w:val="doNotCompress"/>
  <w:compat>
    <w:compatSetting w:name="compatibilityMode" w:uri="http://schemas.microsoft.com/office/word" w:val="12"/>
  </w:compat>
  <w:rsids>
    <w:rsidRoot w:val="00F77CF1"/>
    <w:rsid w:val="002F4F73"/>
    <w:rsid w:val="0041150F"/>
    <w:rsid w:val="005D0A46"/>
    <w:rsid w:val="00821DE7"/>
    <w:rsid w:val="008751E0"/>
    <w:rsid w:val="008957A0"/>
    <w:rsid w:val="008A0611"/>
    <w:rsid w:val="00CC1F85"/>
    <w:rsid w:val="00E079CB"/>
    <w:rsid w:val="00F7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C7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895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408</Words>
  <Characters>2326</Characters>
  <Application>Microsoft Macintosh Word</Application>
  <DocSecurity>0</DocSecurity>
  <Lines>19</Lines>
  <Paragraphs>5</Paragraphs>
  <ScaleCrop>false</ScaleCrop>
  <Company>INRIA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GRONAT</dc:creator>
  <cp:lastModifiedBy>Josef S</cp:lastModifiedBy>
  <cp:revision>6</cp:revision>
  <dcterms:created xsi:type="dcterms:W3CDTF">2015-01-30T16:23:00Z</dcterms:created>
  <dcterms:modified xsi:type="dcterms:W3CDTF">2015-01-30T20:04:00Z</dcterms:modified>
  <dc:language>en-US</dc:language>
</cp:coreProperties>
</file>