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Arial" w:hAnsi="Arial"/>
          <w:b/>
          <w:color w:val="103460"/>
          <w:sz w:val="32"/>
        </w:rPr>
        <w:t>KPR INSTITUTE OF ENGINEERING AND TECHNOLOGY</w:t>
        <w:br/>
      </w:r>
      <w:r>
        <w:rPr>
          <w:rFonts w:ascii="Arial" w:hAnsi="Arial"/>
          <w:color w:val="323232"/>
          <w:sz w:val="24"/>
        </w:rPr>
        <w:t>DEPARTMENT OF ARTIFICIAL INTELLIGENCE AND DATA SCIENCE</w:t>
        <w:br/>
        <w:br/>
      </w:r>
    </w:p>
    <w:p>
      <w:pPr>
        <w:spacing w:before="400" w:after="500"/>
        <w:jc w:val="center"/>
      </w:pPr>
      <w:r>
        <w:rPr>
          <w:rFonts w:ascii="Arial" w:hAnsi="Arial"/>
          <w:b/>
          <w:color w:val="103460"/>
          <w:sz w:val="36"/>
        </w:rPr>
        <w:t>AIR QUALITY ANALYSIS AND CARBON MONOXIDE CONCENTRATION PREDICTION USING EXPLORATORY DATA ANALYSIS AND DEEP LEARNING</w:t>
        <w:br/>
      </w:r>
    </w:p>
    <w:p>
      <w:pPr>
        <w:spacing w:after="800"/>
        <w:jc w:val="center"/>
      </w:pPr>
      <w:r>
        <w:rPr>
          <w:rFonts w:ascii="Arial" w:hAnsi="Arial"/>
          <w:i/>
          <w:color w:val="464646"/>
          <w:sz w:val="22"/>
        </w:rPr>
        <w:t>COURSE WORK CASE STUDY REPORT — ASSIGNMENT II</w:t>
        <w:br/>
        <w:t>Course Code: U21ADP05 | Course Title: Exploratory Data Analysis and Visualization</w:t>
      </w:r>
    </w:p>
    <w:p>
      <w:pPr>
        <w:spacing w:before="1200" w:after="80"/>
        <w:jc w:val="center"/>
      </w:pPr>
      <w:r>
        <w:rPr>
          <w:rFonts w:ascii="Arial" w:hAnsi="Arial"/>
          <w:b/>
          <w:sz w:val="20"/>
        </w:rPr>
        <w:t xml:space="preserve">Student Name:              </w:t>
      </w:r>
      <w:r>
        <w:rPr>
          <w:rFonts w:ascii="Arial" w:hAnsi="Arial"/>
          <w:sz w:val="20"/>
        </w:rPr>
        <w:t>Kavin M</w:t>
        <w:br/>
      </w:r>
      <w:r>
        <w:rPr>
          <w:rFonts w:ascii="Arial" w:hAnsi="Arial"/>
          <w:b/>
          <w:sz w:val="20"/>
        </w:rPr>
        <w:t xml:space="preserve">Roll Number:               </w:t>
      </w:r>
      <w:r>
        <w:rPr>
          <w:rFonts w:ascii="Arial" w:hAnsi="Arial"/>
          <w:sz w:val="20"/>
        </w:rPr>
        <w:t>24AD053</w:t>
        <w:br/>
      </w:r>
      <w:r>
        <w:rPr>
          <w:rFonts w:ascii="Arial" w:hAnsi="Arial"/>
          <w:b/>
          <w:sz w:val="20"/>
        </w:rPr>
        <w:t xml:space="preserve">Degree &amp; Branch:           </w:t>
      </w:r>
      <w:r>
        <w:rPr>
          <w:rFonts w:ascii="Arial" w:hAnsi="Arial"/>
          <w:sz w:val="20"/>
        </w:rPr>
        <w:t>B.Tech. Artificial Intelligence and Data Science</w:t>
        <w:br/>
      </w:r>
      <w:r>
        <w:rPr>
          <w:rFonts w:ascii="Arial" w:hAnsi="Arial"/>
          <w:b/>
          <w:sz w:val="20"/>
        </w:rPr>
        <w:t xml:space="preserve">Year &amp; Semester:           </w:t>
      </w:r>
      <w:r>
        <w:rPr>
          <w:rFonts w:ascii="Arial" w:hAnsi="Arial"/>
          <w:sz w:val="20"/>
        </w:rPr>
        <w:t>III Year / V Semester</w:t>
        <w:br/>
      </w:r>
      <w:r>
        <w:rPr>
          <w:rFonts w:ascii="Arial" w:hAnsi="Arial"/>
          <w:b/>
          <w:sz w:val="20"/>
        </w:rPr>
        <w:t xml:space="preserve">Academic Year:             </w:t>
      </w:r>
      <w:r>
        <w:rPr>
          <w:rFonts w:ascii="Arial" w:hAnsi="Arial"/>
          <w:sz w:val="20"/>
        </w:rPr>
        <w:t>2026–2027 (Odd Semester)</w:t>
        <w:br/>
      </w:r>
      <w:r>
        <w:rPr>
          <w:rFonts w:ascii="Arial" w:hAnsi="Arial"/>
          <w:b/>
          <w:sz w:val="20"/>
        </w:rPr>
        <w:t xml:space="preserve">Course Coordinator:        </w:t>
      </w:r>
      <w:r>
        <w:rPr>
          <w:rFonts w:ascii="Arial" w:hAnsi="Arial"/>
          <w:sz w:val="20"/>
        </w:rPr>
        <w:t>Mr. Rushikesh Kadam</w:t>
        <w:br/>
      </w:r>
      <w:r>
        <w:rPr>
          <w:rFonts w:ascii="Arial" w:hAnsi="Arial"/>
          <w:b/>
          <w:sz w:val="20"/>
        </w:rPr>
        <w:t xml:space="preserve">Maximum Assignment Marks:  </w:t>
      </w:r>
      <w:r>
        <w:rPr>
          <w:rFonts w:ascii="Arial" w:hAnsi="Arial"/>
          <w:sz w:val="20"/>
        </w:rPr>
        <w:t>40 Marks</w:t>
        <w:br/>
      </w:r>
      <w:r>
        <w:rPr>
          <w:rFonts w:ascii="Arial" w:hAnsi="Arial"/>
          <w:b/>
          <w:sz w:val="20"/>
        </w:rPr>
        <w:t xml:space="preserve">Submission Date:           </w:t>
      </w:r>
      <w:r>
        <w:rPr>
          <w:rFonts w:ascii="Arial" w:hAnsi="Arial"/>
          <w:sz w:val="20"/>
        </w:rPr>
        <w:t>October 20, 2026</w:t>
        <w:br/>
      </w:r>
    </w:p>
    <w:p>
      <w:r>
        <w:br w:type="page"/>
      </w:r>
    </w:p>
    <w:p>
      <w:pPr>
        <w:pStyle w:val="Heading1"/>
        <w:keepNext/>
        <w:spacing w:before="240" w:after="80"/>
      </w:pPr>
      <w:r>
        <w:rPr>
          <w:rFonts w:ascii="Arial" w:hAnsi="Arial"/>
          <w:b/>
          <w:color w:val="103460"/>
          <w:sz w:val="30"/>
        </w:rPr>
        <w:t>2. Abstract</w:t>
      </w:r>
    </w:p>
    <w:p>
      <w:pPr>
        <w:spacing w:after="120" w:line="276" w:lineRule="auto"/>
      </w:pPr>
      <w:r>
        <w:rPr>
          <w:rFonts w:ascii="Arial" w:hAnsi="Arial"/>
          <w:b w:val="0"/>
          <w:i w:val="0"/>
          <w:sz w:val="20"/>
        </w:rPr>
        <w:t>Urban air pollution poses a grave public health concern, with ground-level carbon monoxide (CO) serving as a critical indicator of combustion emissions and vehicular exhaust. This case study develops a rigorous, end-to-end analytical and predictive pipeline using the official UCI Air Quality benchmark dataset (DOI: 10.24432/C59K5F), comprising 9,358 hourly observations recorded at an Italian urban road monitoring station. An exhaustive exploratory data analysis (EDA) characterized sensor distributions, environmental covariations, and temporal dynamics while filtering invalid sentinels (-200). To predict measured ground-truth CO concentration without target leakage, low-cost metal oxide chemical sensor responses (PT08.S1 to PT08.S5), ambient weather measurements, and cyclical temporal encodings were leveraged. A deep Multi-Layer Perceptron (MLP) regression network was trained using a strictly chronological split (70% train, 15% validation, 15% test) with train-only imputation and standardization. The validation-selected deep regularized MLP achieved an outstanding R² of 0.8094, a Mean Absolute Error (MAE) of 0.3658 mg/m³, and a Root Mean Squared Error (RMSE) of 0.5564 mg/m³ on 1,152 held-out test observations. Permutation importance revealed primary dependencies on PT08.S4(NO2), PT08.S2(NMHC), and absolute humidity, confirming the viability of deep learning sensor calibration for real-time environmental monitoring.</w:t>
      </w:r>
    </w:p>
    <w:p>
      <w:pPr>
        <w:pStyle w:val="Heading1"/>
        <w:keepNext/>
        <w:spacing w:before="240" w:after="80"/>
      </w:pPr>
      <w:r>
        <w:rPr>
          <w:rFonts w:ascii="Arial" w:hAnsi="Arial"/>
          <w:b/>
          <w:color w:val="103460"/>
          <w:sz w:val="30"/>
        </w:rPr>
        <w:t>3. Introduction</w:t>
      </w:r>
    </w:p>
    <w:p>
      <w:pPr>
        <w:pStyle w:val="Heading2"/>
        <w:keepNext/>
        <w:spacing w:before="240" w:after="80"/>
      </w:pPr>
      <w:r>
        <w:rPr>
          <w:rFonts w:ascii="Arial" w:hAnsi="Arial"/>
          <w:b/>
          <w:color w:val="1E5082"/>
          <w:sz w:val="25"/>
        </w:rPr>
        <w:t>3.1 Background and Problem Context</w:t>
      </w:r>
    </w:p>
    <w:p>
      <w:pPr>
        <w:spacing w:after="120" w:line="276" w:lineRule="auto"/>
      </w:pPr>
      <w:r>
        <w:rPr>
          <w:rFonts w:ascii="Arial" w:hAnsi="Arial"/>
          <w:b w:val="0"/>
          <w:i w:val="0"/>
          <w:sz w:val="20"/>
        </w:rPr>
        <w:t>Rapid urbanization and vehicular traffic expansion have significantly degraded ambient urban air quality. Elevated concentrations of carbon monoxide (CO) impair oxygen delivery in the human circulatory system through the formation of carboxyhemoglobin, exacerbating cardiovascular disease and acute respiratory morbidity. While conventional air quality monitoring stations utilize certified reference analyzers to deliver high-precision concentration readings, their substantial capital and operational costs severely constrain spatial sensor density across urban topographies.</w:t>
      </w:r>
    </w:p>
    <w:p>
      <w:pPr>
        <w:pStyle w:val="Heading2"/>
        <w:keepNext/>
        <w:spacing w:before="240" w:after="80"/>
      </w:pPr>
      <w:r>
        <w:rPr>
          <w:rFonts w:ascii="Arial" w:hAnsi="Arial"/>
          <w:b/>
          <w:color w:val="1E5082"/>
          <w:sz w:val="25"/>
        </w:rPr>
        <w:t>3.2 Practical Problem Statement</w:t>
      </w:r>
    </w:p>
    <w:p>
      <w:pPr>
        <w:spacing w:after="120" w:line="276" w:lineRule="auto"/>
      </w:pPr>
      <w:r>
        <w:rPr>
          <w:rFonts w:ascii="Arial" w:hAnsi="Arial"/>
          <w:b w:val="0"/>
          <w:i w:val="0"/>
          <w:sz w:val="20"/>
        </w:rPr>
        <w:t>To achieve dense municipal monitoring, low-cost solid-state metal oxide chemical multisensor arrays have emerged as a scalable alternative. However, raw semiconductor sensor responses exhibit complex cross-sensitivities to co-pollutants and meteorological fluctuations (temperature and humidity), alongside non-linear sensor degradation over time. The primary objective of this project is to explore these underlying sensor behaviors through rigorous exploratory data analysis and build a deep learning Multi-Layer Perceptron (MLP) regression architecture to accurately calibrate and predict continuous ground-truth carbon monoxide concentrations (CO(GT) in mg/m³) directly from low-cost sensor telemetry and environmental inputs.</w:t>
      </w:r>
    </w:p>
    <w:p>
      <w:pPr>
        <w:pStyle w:val="Heading2"/>
        <w:keepNext/>
        <w:spacing w:before="240" w:after="80"/>
      </w:pPr>
      <w:r>
        <w:rPr>
          <w:rFonts w:ascii="Arial" w:hAnsi="Arial"/>
          <w:b/>
          <w:color w:val="1E5082"/>
          <w:sz w:val="25"/>
        </w:rPr>
        <w:t>3.3 Project Objectives</w:t>
      </w:r>
    </w:p>
    <w:p>
      <w:pPr>
        <w:spacing w:after="120" w:line="276" w:lineRule="auto"/>
      </w:pPr>
      <w:r>
        <w:rPr>
          <w:rFonts w:ascii="Arial" w:hAnsi="Arial"/>
          <w:b w:val="0"/>
          <w:i w:val="0"/>
          <w:sz w:val="20"/>
        </w:rPr>
        <w:t>The study addresses the following explicit engineering and scientific objectives:</w:t>
      </w:r>
    </w:p>
    <w:p>
      <w:pPr>
        <w:spacing w:after="120" w:line="276" w:lineRule="auto"/>
      </w:pPr>
      <w:r>
        <w:rPr>
          <w:rFonts w:ascii="Arial" w:hAnsi="Arial"/>
          <w:b w:val="0"/>
          <w:i w:val="0"/>
          <w:sz w:val="20"/>
        </w:rPr>
        <w:t>1. Ingest, validate, and clean the official UCI Air Quality dataset, correctly parsing European delimiters, decimal formats, and sentinel missing values (-200).</w:t>
      </w:r>
    </w:p>
    <w:p>
      <w:pPr>
        <w:spacing w:after="120" w:line="276" w:lineRule="auto"/>
      </w:pPr>
      <w:r>
        <w:rPr>
          <w:rFonts w:ascii="Arial" w:hAnsi="Arial"/>
          <w:b w:val="0"/>
          <w:i w:val="0"/>
          <w:sz w:val="20"/>
        </w:rPr>
        <w:t>2. Execute comprehensive univariate, bivariate, and multivariate exploratory data analyses to reveal pollutant distributions, correlations, and diurnal patterns.</w:t>
      </w:r>
    </w:p>
    <w:p>
      <w:pPr>
        <w:spacing w:after="120" w:line="276" w:lineRule="auto"/>
      </w:pPr>
      <w:r>
        <w:rPr>
          <w:rFonts w:ascii="Arial" w:hAnsi="Arial"/>
          <w:b w:val="0"/>
          <w:i w:val="0"/>
          <w:sz w:val="20"/>
        </w:rPr>
        <w:t>3. Map the complete visualization workflow across all Seven Stages of Visualization, including deploying an interactive dual-axis Plotly dashboard.</w:t>
      </w:r>
    </w:p>
    <w:p>
      <w:pPr>
        <w:spacing w:after="120" w:line="276" w:lineRule="auto"/>
      </w:pPr>
      <w:r>
        <w:rPr>
          <w:rFonts w:ascii="Arial" w:hAnsi="Arial"/>
          <w:b w:val="0"/>
          <w:i w:val="0"/>
          <w:sz w:val="20"/>
        </w:rPr>
        <w:t>4. Prevent data leakage by strictly omitting all reference ground-truth concentrations from predictor sets and ensuring preprocessing transformations are fit exclusively on training data.</w:t>
      </w:r>
    </w:p>
    <w:p>
      <w:pPr>
        <w:spacing w:after="120" w:line="276" w:lineRule="auto"/>
      </w:pPr>
      <w:r>
        <w:rPr>
          <w:rFonts w:ascii="Arial" w:hAnsi="Arial"/>
          <w:b w:val="0"/>
          <w:i w:val="0"/>
          <w:sz w:val="20"/>
        </w:rPr>
        <w:t>5. Design, train, and compare competing deep learning MLP regression configurations using chronological validation splits and early stopping.</w:t>
      </w:r>
    </w:p>
    <w:p>
      <w:pPr>
        <w:spacing w:after="120" w:line="276" w:lineRule="auto"/>
      </w:pPr>
      <w:r>
        <w:rPr>
          <w:rFonts w:ascii="Arial" w:hAnsi="Arial"/>
          <w:b w:val="0"/>
          <w:i w:val="0"/>
          <w:sz w:val="20"/>
        </w:rPr>
        <w:t>6. Evaluate the selected regression model on an uncompromised chronological test partition using MAE, RMSE, and R², accompanied by residual diagnostics and permutation feature importance.</w:t>
      </w:r>
    </w:p>
    <w:p>
      <w:pPr>
        <w:pStyle w:val="Heading1"/>
        <w:keepNext/>
        <w:spacing w:before="240" w:after="80"/>
      </w:pPr>
      <w:r>
        <w:rPr>
          <w:rFonts w:ascii="Arial" w:hAnsi="Arial"/>
          <w:b/>
          <w:color w:val="103460"/>
          <w:sz w:val="30"/>
        </w:rPr>
        <w:t>4. Dataset Description</w:t>
      </w:r>
    </w:p>
    <w:p>
      <w:pPr>
        <w:spacing w:after="120" w:line="276" w:lineRule="auto"/>
      </w:pPr>
      <w:r>
        <w:rPr>
          <w:rFonts w:ascii="Arial" w:hAnsi="Arial"/>
          <w:b w:val="0"/>
          <w:i w:val="0"/>
          <w:sz w:val="20"/>
        </w:rPr>
        <w:t>The project utilizes the benchmark Air Quality Dataset hosted by the UC Irvine Machine Learning Repository (DOI: 10.24432/C59K5F). The dataset represents continuous hourly ambient air monitoring from an Italian city road field deployment between March 10, 2004, and April 4, 2005. The raw dataset comprises 9,357 valid hourly observations across 15 attributes, alongside two trailing empty semicolon columns originating from CSV formatting artifacts.</w:t>
      </w:r>
    </w:p>
    <w:p>
      <w:pPr>
        <w:pStyle w:val="Heading2"/>
        <w:keepNext/>
        <w:spacing w:before="240" w:after="80"/>
      </w:pPr>
      <w:r>
        <w:rPr>
          <w:rFonts w:ascii="Arial" w:hAnsi="Arial"/>
          <w:b/>
          <w:color w:val="1E5082"/>
          <w:sz w:val="25"/>
        </w:rPr>
        <w:t>4.1 Feature Attribute Dictionary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03460"/>
            <w:tcMar>
              <w:top w:w="120" w:type="dxa"/>
              <w:bottom w:w="120" w:type="dxa"/>
              <w:left w:w="140" w:type="dxa"/>
              <w:right w:w="140" w:type="dxa"/>
            </w:tcMar>
          </w:tcPr>
          <w:p>
            <w:pPr>
              <w:jc w:val="center"/>
            </w:pPr>
            <w:r>
              <w:rPr>
                <w:rFonts w:ascii="Arial" w:hAnsi="Arial"/>
                <w:b/>
                <w:color w:val="FFFFFF"/>
                <w:sz w:val="18"/>
              </w:rPr>
              <w:t>Variable</w:t>
            </w:r>
          </w:p>
        </w:tc>
        <w:tc>
          <w:tcPr>
            <w:tcW w:type="dxa" w:w="1440"/>
            <w:shd w:fill="103460"/>
            <w:tcMar>
              <w:top w:w="120" w:type="dxa"/>
              <w:bottom w:w="120" w:type="dxa"/>
              <w:left w:w="140" w:type="dxa"/>
              <w:right w:w="140" w:type="dxa"/>
            </w:tcMar>
          </w:tcPr>
          <w:p>
            <w:pPr>
              <w:jc w:val="center"/>
            </w:pPr>
            <w:r>
              <w:rPr>
                <w:rFonts w:ascii="Arial" w:hAnsi="Arial"/>
                <w:b/>
                <w:color w:val="FFFFFF"/>
                <w:sz w:val="18"/>
              </w:rPr>
              <w:t>Type</w:t>
            </w:r>
          </w:p>
        </w:tc>
        <w:tc>
          <w:tcPr>
            <w:tcW w:type="dxa" w:w="1584"/>
            <w:shd w:fill="103460"/>
            <w:tcMar>
              <w:top w:w="120" w:type="dxa"/>
              <w:bottom w:w="120" w:type="dxa"/>
              <w:left w:w="140" w:type="dxa"/>
              <w:right w:w="140" w:type="dxa"/>
            </w:tcMar>
          </w:tcPr>
          <w:p>
            <w:pPr>
              <w:jc w:val="center"/>
            </w:pPr>
            <w:r>
              <w:rPr>
                <w:rFonts w:ascii="Arial" w:hAnsi="Arial"/>
                <w:b/>
                <w:color w:val="FFFFFF"/>
                <w:sz w:val="18"/>
              </w:rPr>
              <w:t>Unit</w:t>
            </w:r>
          </w:p>
        </w:tc>
        <w:tc>
          <w:tcPr>
            <w:tcW w:type="dxa" w:w="4608"/>
            <w:shd w:fill="103460"/>
            <w:tcMar>
              <w:top w:w="120" w:type="dxa"/>
              <w:bottom w:w="120" w:type="dxa"/>
              <w:left w:w="140" w:type="dxa"/>
              <w:right w:w="140" w:type="dxa"/>
            </w:tcMar>
          </w:tcPr>
          <w:p>
            <w:pPr>
              <w:jc w:val="center"/>
            </w:pPr>
            <w:r>
              <w:rPr>
                <w:rFonts w:ascii="Arial" w:hAnsi="Arial"/>
                <w:b/>
                <w:color w:val="FFFFFF"/>
                <w:sz w:val="18"/>
              </w:rPr>
              <w:t>Description</w:t>
            </w:r>
          </w:p>
        </w:tc>
      </w:tr>
      <w:tr>
        <w:tc>
          <w:tcPr>
            <w:tcW w:type="dxa" w:w="1728"/>
            <w:shd w:fill="FFFFFF"/>
            <w:tcMar>
              <w:top w:w="80" w:type="dxa"/>
              <w:bottom w:w="80" w:type="dxa"/>
              <w:left w:w="120" w:type="dxa"/>
              <w:right w:w="120" w:type="dxa"/>
            </w:tcMar>
          </w:tcPr>
          <w:p>
            <w:pPr>
              <w:jc w:val="left"/>
            </w:pPr>
            <w:r>
              <w:rPr>
                <w:rFonts w:ascii="Arial" w:hAnsi="Arial"/>
                <w:sz w:val="17"/>
              </w:rPr>
              <w:t>Date</w:t>
            </w:r>
          </w:p>
        </w:tc>
        <w:tc>
          <w:tcPr>
            <w:tcW w:type="dxa" w:w="1440"/>
            <w:shd w:fill="FFFFFF"/>
            <w:tcMar>
              <w:top w:w="80" w:type="dxa"/>
              <w:bottom w:w="80" w:type="dxa"/>
              <w:left w:w="120" w:type="dxa"/>
              <w:right w:w="120" w:type="dxa"/>
            </w:tcMar>
          </w:tcPr>
          <w:p>
            <w:pPr>
              <w:jc w:val="center"/>
            </w:pPr>
            <w:r>
              <w:rPr>
                <w:rFonts w:ascii="Arial" w:hAnsi="Arial"/>
                <w:sz w:val="17"/>
              </w:rPr>
              <w:t>Temporal</w:t>
            </w:r>
          </w:p>
        </w:tc>
        <w:tc>
          <w:tcPr>
            <w:tcW w:type="dxa" w:w="1584"/>
            <w:shd w:fill="FFFFFF"/>
            <w:tcMar>
              <w:top w:w="80" w:type="dxa"/>
              <w:bottom w:w="80" w:type="dxa"/>
              <w:left w:w="120" w:type="dxa"/>
              <w:right w:w="120" w:type="dxa"/>
            </w:tcMar>
          </w:tcPr>
          <w:p>
            <w:pPr>
              <w:jc w:val="center"/>
            </w:pPr>
            <w:r>
              <w:rPr>
                <w:rFonts w:ascii="Arial" w:hAnsi="Arial"/>
                <w:sz w:val="17"/>
              </w:rPr>
              <w:t>DD/MM/YYYY</w:t>
            </w:r>
          </w:p>
        </w:tc>
        <w:tc>
          <w:tcPr>
            <w:tcW w:type="dxa" w:w="4608"/>
            <w:shd w:fill="FFFFFF"/>
            <w:tcMar>
              <w:top w:w="80" w:type="dxa"/>
              <w:bottom w:w="80" w:type="dxa"/>
              <w:left w:w="120" w:type="dxa"/>
              <w:right w:w="120" w:type="dxa"/>
            </w:tcMar>
          </w:tcPr>
          <w:p>
            <w:pPr>
              <w:jc w:val="center"/>
            </w:pPr>
            <w:r>
              <w:rPr>
                <w:rFonts w:ascii="Arial" w:hAnsi="Arial"/>
                <w:sz w:val="17"/>
              </w:rPr>
              <w:t>Calendar recording date.</w:t>
            </w:r>
          </w:p>
        </w:tc>
      </w:tr>
      <w:tr>
        <w:tc>
          <w:tcPr>
            <w:tcW w:type="dxa" w:w="1728"/>
            <w:shd w:fill="F7F9FC"/>
            <w:tcMar>
              <w:top w:w="80" w:type="dxa"/>
              <w:bottom w:w="80" w:type="dxa"/>
              <w:left w:w="120" w:type="dxa"/>
              <w:right w:w="120" w:type="dxa"/>
            </w:tcMar>
          </w:tcPr>
          <w:p>
            <w:pPr>
              <w:jc w:val="left"/>
            </w:pPr>
            <w:r>
              <w:rPr>
                <w:rFonts w:ascii="Arial" w:hAnsi="Arial"/>
                <w:sz w:val="17"/>
              </w:rPr>
              <w:t>Time</w:t>
            </w:r>
          </w:p>
        </w:tc>
        <w:tc>
          <w:tcPr>
            <w:tcW w:type="dxa" w:w="1440"/>
            <w:shd w:fill="F7F9FC"/>
            <w:tcMar>
              <w:top w:w="80" w:type="dxa"/>
              <w:bottom w:w="80" w:type="dxa"/>
              <w:left w:w="120" w:type="dxa"/>
              <w:right w:w="120" w:type="dxa"/>
            </w:tcMar>
          </w:tcPr>
          <w:p>
            <w:pPr>
              <w:jc w:val="center"/>
            </w:pPr>
            <w:r>
              <w:rPr>
                <w:rFonts w:ascii="Arial" w:hAnsi="Arial"/>
                <w:sz w:val="17"/>
              </w:rPr>
              <w:t>Temporal</w:t>
            </w:r>
          </w:p>
        </w:tc>
        <w:tc>
          <w:tcPr>
            <w:tcW w:type="dxa" w:w="1584"/>
            <w:shd w:fill="F7F9FC"/>
            <w:tcMar>
              <w:top w:w="80" w:type="dxa"/>
              <w:bottom w:w="80" w:type="dxa"/>
              <w:left w:w="120" w:type="dxa"/>
              <w:right w:w="120" w:type="dxa"/>
            </w:tcMar>
          </w:tcPr>
          <w:p>
            <w:pPr>
              <w:jc w:val="center"/>
            </w:pPr>
            <w:r>
              <w:rPr>
                <w:rFonts w:ascii="Arial" w:hAnsi="Arial"/>
                <w:sz w:val="17"/>
              </w:rPr>
              <w:t>HH.MM.SS</w:t>
            </w:r>
          </w:p>
        </w:tc>
        <w:tc>
          <w:tcPr>
            <w:tcW w:type="dxa" w:w="4608"/>
            <w:shd w:fill="F7F9FC"/>
            <w:tcMar>
              <w:top w:w="80" w:type="dxa"/>
              <w:bottom w:w="80" w:type="dxa"/>
              <w:left w:w="120" w:type="dxa"/>
              <w:right w:w="120" w:type="dxa"/>
            </w:tcMar>
          </w:tcPr>
          <w:p>
            <w:pPr>
              <w:jc w:val="center"/>
            </w:pPr>
            <w:r>
              <w:rPr>
                <w:rFonts w:ascii="Arial" w:hAnsi="Arial"/>
                <w:sz w:val="17"/>
              </w:rPr>
              <w:t>Hourly recording timestamp (UTC).</w:t>
            </w:r>
          </w:p>
        </w:tc>
      </w:tr>
      <w:tr>
        <w:tc>
          <w:tcPr>
            <w:tcW w:type="dxa" w:w="1728"/>
            <w:shd w:fill="FFFFFF"/>
            <w:tcMar>
              <w:top w:w="80" w:type="dxa"/>
              <w:bottom w:w="80" w:type="dxa"/>
              <w:left w:w="120" w:type="dxa"/>
              <w:right w:w="120" w:type="dxa"/>
            </w:tcMar>
          </w:tcPr>
          <w:p>
            <w:pPr>
              <w:jc w:val="left"/>
            </w:pPr>
            <w:r>
              <w:rPr>
                <w:rFonts w:ascii="Arial" w:hAnsi="Arial"/>
                <w:sz w:val="17"/>
              </w:rPr>
              <w:t>CO(GT)</w:t>
            </w:r>
          </w:p>
        </w:tc>
        <w:tc>
          <w:tcPr>
            <w:tcW w:type="dxa" w:w="1440"/>
            <w:shd w:fill="FFFFFF"/>
            <w:tcMar>
              <w:top w:w="80" w:type="dxa"/>
              <w:bottom w:w="80" w:type="dxa"/>
              <w:left w:w="120" w:type="dxa"/>
              <w:right w:w="120" w:type="dxa"/>
            </w:tcMar>
          </w:tcPr>
          <w:p>
            <w:pPr>
              <w:jc w:val="center"/>
            </w:pPr>
            <w:r>
              <w:rPr>
                <w:rFonts w:ascii="Arial" w:hAnsi="Arial"/>
                <w:sz w:val="17"/>
              </w:rPr>
              <w:t>Continuous</w:t>
            </w:r>
          </w:p>
        </w:tc>
        <w:tc>
          <w:tcPr>
            <w:tcW w:type="dxa" w:w="1584"/>
            <w:shd w:fill="FFFFFF"/>
            <w:tcMar>
              <w:top w:w="80" w:type="dxa"/>
              <w:bottom w:w="80" w:type="dxa"/>
              <w:left w:w="120" w:type="dxa"/>
              <w:right w:w="120" w:type="dxa"/>
            </w:tcMar>
          </w:tcPr>
          <w:p>
            <w:pPr>
              <w:jc w:val="center"/>
            </w:pPr>
            <w:r>
              <w:rPr>
                <w:rFonts w:ascii="Arial" w:hAnsi="Arial"/>
                <w:sz w:val="17"/>
              </w:rPr>
              <w:t>mg/m³</w:t>
            </w:r>
          </w:p>
        </w:tc>
        <w:tc>
          <w:tcPr>
            <w:tcW w:type="dxa" w:w="4608"/>
            <w:shd w:fill="FFFFFF"/>
            <w:tcMar>
              <w:top w:w="80" w:type="dxa"/>
              <w:bottom w:w="80" w:type="dxa"/>
              <w:left w:w="120" w:type="dxa"/>
              <w:right w:w="120" w:type="dxa"/>
            </w:tcMar>
          </w:tcPr>
          <w:p>
            <w:pPr>
              <w:jc w:val="center"/>
            </w:pPr>
            <w:r>
              <w:rPr>
                <w:rFonts w:ascii="Arial" w:hAnsi="Arial"/>
                <w:sz w:val="17"/>
              </w:rPr>
              <w:t>Ground-truth CO concentration (certified analyzer); Target.</w:t>
            </w:r>
          </w:p>
        </w:tc>
      </w:tr>
      <w:tr>
        <w:tc>
          <w:tcPr>
            <w:tcW w:type="dxa" w:w="1728"/>
            <w:shd w:fill="F7F9FC"/>
            <w:tcMar>
              <w:top w:w="80" w:type="dxa"/>
              <w:bottom w:w="80" w:type="dxa"/>
              <w:left w:w="120" w:type="dxa"/>
              <w:right w:w="120" w:type="dxa"/>
            </w:tcMar>
          </w:tcPr>
          <w:p>
            <w:pPr>
              <w:jc w:val="left"/>
            </w:pPr>
            <w:r>
              <w:rPr>
                <w:rFonts w:ascii="Arial" w:hAnsi="Arial"/>
                <w:sz w:val="17"/>
              </w:rPr>
              <w:t>PT08.S1(CO)</w:t>
            </w:r>
          </w:p>
        </w:tc>
        <w:tc>
          <w:tcPr>
            <w:tcW w:type="dxa" w:w="1440"/>
            <w:shd w:fill="F7F9FC"/>
            <w:tcMar>
              <w:top w:w="80" w:type="dxa"/>
              <w:bottom w:w="80" w:type="dxa"/>
              <w:left w:w="120" w:type="dxa"/>
              <w:right w:w="120" w:type="dxa"/>
            </w:tcMar>
          </w:tcPr>
          <w:p>
            <w:pPr>
              <w:jc w:val="center"/>
            </w:pPr>
            <w:r>
              <w:rPr>
                <w:rFonts w:ascii="Arial" w:hAnsi="Arial"/>
                <w:sz w:val="17"/>
              </w:rPr>
              <w:t>Continuous</w:t>
            </w:r>
          </w:p>
        </w:tc>
        <w:tc>
          <w:tcPr>
            <w:tcW w:type="dxa" w:w="1584"/>
            <w:shd w:fill="F7F9FC"/>
            <w:tcMar>
              <w:top w:w="80" w:type="dxa"/>
              <w:bottom w:w="80" w:type="dxa"/>
              <w:left w:w="120" w:type="dxa"/>
              <w:right w:w="120" w:type="dxa"/>
            </w:tcMar>
          </w:tcPr>
          <w:p>
            <w:pPr>
              <w:jc w:val="center"/>
            </w:pPr>
            <w:r>
              <w:rPr>
                <w:rFonts w:ascii="Arial" w:hAnsi="Arial"/>
                <w:sz w:val="17"/>
              </w:rPr>
              <w:t>mV (nominal)</w:t>
            </w:r>
          </w:p>
        </w:tc>
        <w:tc>
          <w:tcPr>
            <w:tcW w:type="dxa" w:w="4608"/>
            <w:shd w:fill="F7F9FC"/>
            <w:tcMar>
              <w:top w:w="80" w:type="dxa"/>
              <w:bottom w:w="80" w:type="dxa"/>
              <w:left w:w="120" w:type="dxa"/>
              <w:right w:w="120" w:type="dxa"/>
            </w:tcMar>
          </w:tcPr>
          <w:p>
            <w:pPr>
              <w:jc w:val="center"/>
            </w:pPr>
            <w:r>
              <w:rPr>
                <w:rFonts w:ascii="Arial" w:hAnsi="Arial"/>
                <w:sz w:val="17"/>
              </w:rPr>
              <w:t>Tin oxide metal sensor response nominally targeted for CO.</w:t>
            </w:r>
          </w:p>
        </w:tc>
      </w:tr>
      <w:tr>
        <w:tc>
          <w:tcPr>
            <w:tcW w:type="dxa" w:w="1728"/>
            <w:shd w:fill="FFFFFF"/>
            <w:tcMar>
              <w:top w:w="80" w:type="dxa"/>
              <w:bottom w:w="80" w:type="dxa"/>
              <w:left w:w="120" w:type="dxa"/>
              <w:right w:w="120" w:type="dxa"/>
            </w:tcMar>
          </w:tcPr>
          <w:p>
            <w:pPr>
              <w:jc w:val="left"/>
            </w:pPr>
            <w:r>
              <w:rPr>
                <w:rFonts w:ascii="Arial" w:hAnsi="Arial"/>
                <w:sz w:val="17"/>
              </w:rPr>
              <w:t>NMHC(GT)</w:t>
            </w:r>
          </w:p>
        </w:tc>
        <w:tc>
          <w:tcPr>
            <w:tcW w:type="dxa" w:w="1440"/>
            <w:shd w:fill="FFFFFF"/>
            <w:tcMar>
              <w:top w:w="80" w:type="dxa"/>
              <w:bottom w:w="80" w:type="dxa"/>
              <w:left w:w="120" w:type="dxa"/>
              <w:right w:w="120" w:type="dxa"/>
            </w:tcMar>
          </w:tcPr>
          <w:p>
            <w:pPr>
              <w:jc w:val="center"/>
            </w:pPr>
            <w:r>
              <w:rPr>
                <w:rFonts w:ascii="Arial" w:hAnsi="Arial"/>
                <w:sz w:val="17"/>
              </w:rPr>
              <w:t>Continuous</w:t>
            </w:r>
          </w:p>
        </w:tc>
        <w:tc>
          <w:tcPr>
            <w:tcW w:type="dxa" w:w="1584"/>
            <w:shd w:fill="FFFFFF"/>
            <w:tcMar>
              <w:top w:w="80" w:type="dxa"/>
              <w:bottom w:w="80" w:type="dxa"/>
              <w:left w:w="120" w:type="dxa"/>
              <w:right w:w="120" w:type="dxa"/>
            </w:tcMar>
          </w:tcPr>
          <w:p>
            <w:pPr>
              <w:jc w:val="center"/>
            </w:pPr>
            <w:r>
              <w:rPr>
                <w:rFonts w:ascii="Arial" w:hAnsi="Arial"/>
                <w:sz w:val="17"/>
              </w:rPr>
              <w:t>µg/m³</w:t>
            </w:r>
          </w:p>
        </w:tc>
        <w:tc>
          <w:tcPr>
            <w:tcW w:type="dxa" w:w="4608"/>
            <w:shd w:fill="FFFFFF"/>
            <w:tcMar>
              <w:top w:w="80" w:type="dxa"/>
              <w:bottom w:w="80" w:type="dxa"/>
              <w:left w:w="120" w:type="dxa"/>
              <w:right w:w="120" w:type="dxa"/>
            </w:tcMar>
          </w:tcPr>
          <w:p>
            <w:pPr>
              <w:jc w:val="center"/>
            </w:pPr>
            <w:r>
              <w:rPr>
                <w:rFonts w:ascii="Arial" w:hAnsi="Arial"/>
                <w:sz w:val="17"/>
              </w:rPr>
              <w:t>Ground-truth Non-Methane Hydrocarbons (reference analyzer).</w:t>
            </w:r>
          </w:p>
        </w:tc>
      </w:tr>
      <w:tr>
        <w:tc>
          <w:tcPr>
            <w:tcW w:type="dxa" w:w="1728"/>
            <w:shd w:fill="F7F9FC"/>
            <w:tcMar>
              <w:top w:w="80" w:type="dxa"/>
              <w:bottom w:w="80" w:type="dxa"/>
              <w:left w:w="120" w:type="dxa"/>
              <w:right w:w="120" w:type="dxa"/>
            </w:tcMar>
          </w:tcPr>
          <w:p>
            <w:pPr>
              <w:jc w:val="left"/>
            </w:pPr>
            <w:r>
              <w:rPr>
                <w:rFonts w:ascii="Arial" w:hAnsi="Arial"/>
                <w:sz w:val="17"/>
              </w:rPr>
              <w:t>C6H6(GT)</w:t>
            </w:r>
          </w:p>
        </w:tc>
        <w:tc>
          <w:tcPr>
            <w:tcW w:type="dxa" w:w="1440"/>
            <w:shd w:fill="F7F9FC"/>
            <w:tcMar>
              <w:top w:w="80" w:type="dxa"/>
              <w:bottom w:w="80" w:type="dxa"/>
              <w:left w:w="120" w:type="dxa"/>
              <w:right w:w="120" w:type="dxa"/>
            </w:tcMar>
          </w:tcPr>
          <w:p>
            <w:pPr>
              <w:jc w:val="center"/>
            </w:pPr>
            <w:r>
              <w:rPr>
                <w:rFonts w:ascii="Arial" w:hAnsi="Arial"/>
                <w:sz w:val="17"/>
              </w:rPr>
              <w:t>Continuous</w:t>
            </w:r>
          </w:p>
        </w:tc>
        <w:tc>
          <w:tcPr>
            <w:tcW w:type="dxa" w:w="1584"/>
            <w:shd w:fill="F7F9FC"/>
            <w:tcMar>
              <w:top w:w="80" w:type="dxa"/>
              <w:bottom w:w="80" w:type="dxa"/>
              <w:left w:w="120" w:type="dxa"/>
              <w:right w:w="120" w:type="dxa"/>
            </w:tcMar>
          </w:tcPr>
          <w:p>
            <w:pPr>
              <w:jc w:val="center"/>
            </w:pPr>
            <w:r>
              <w:rPr>
                <w:rFonts w:ascii="Arial" w:hAnsi="Arial"/>
                <w:sz w:val="17"/>
              </w:rPr>
              <w:t>µg/m³</w:t>
            </w:r>
          </w:p>
        </w:tc>
        <w:tc>
          <w:tcPr>
            <w:tcW w:type="dxa" w:w="4608"/>
            <w:shd w:fill="F7F9FC"/>
            <w:tcMar>
              <w:top w:w="80" w:type="dxa"/>
              <w:bottom w:w="80" w:type="dxa"/>
              <w:left w:w="120" w:type="dxa"/>
              <w:right w:w="120" w:type="dxa"/>
            </w:tcMar>
          </w:tcPr>
          <w:p>
            <w:pPr>
              <w:jc w:val="center"/>
            </w:pPr>
            <w:r>
              <w:rPr>
                <w:rFonts w:ascii="Arial" w:hAnsi="Arial"/>
                <w:sz w:val="17"/>
              </w:rPr>
              <w:t>Ground-truth Benzene concentration (reference analyzer).</w:t>
            </w:r>
          </w:p>
        </w:tc>
      </w:tr>
      <w:tr>
        <w:tc>
          <w:tcPr>
            <w:tcW w:type="dxa" w:w="1728"/>
            <w:shd w:fill="FFFFFF"/>
            <w:tcMar>
              <w:top w:w="80" w:type="dxa"/>
              <w:bottom w:w="80" w:type="dxa"/>
              <w:left w:w="120" w:type="dxa"/>
              <w:right w:w="120" w:type="dxa"/>
            </w:tcMar>
          </w:tcPr>
          <w:p>
            <w:pPr>
              <w:jc w:val="left"/>
            </w:pPr>
            <w:r>
              <w:rPr>
                <w:rFonts w:ascii="Arial" w:hAnsi="Arial"/>
                <w:sz w:val="17"/>
              </w:rPr>
              <w:t>PT08.S2(NMHC)</w:t>
            </w:r>
          </w:p>
        </w:tc>
        <w:tc>
          <w:tcPr>
            <w:tcW w:type="dxa" w:w="1440"/>
            <w:shd w:fill="FFFFFF"/>
            <w:tcMar>
              <w:top w:w="80" w:type="dxa"/>
              <w:bottom w:w="80" w:type="dxa"/>
              <w:left w:w="120" w:type="dxa"/>
              <w:right w:w="120" w:type="dxa"/>
            </w:tcMar>
          </w:tcPr>
          <w:p>
            <w:pPr>
              <w:jc w:val="center"/>
            </w:pPr>
            <w:r>
              <w:rPr>
                <w:rFonts w:ascii="Arial" w:hAnsi="Arial"/>
                <w:sz w:val="17"/>
              </w:rPr>
              <w:t>Continuous</w:t>
            </w:r>
          </w:p>
        </w:tc>
        <w:tc>
          <w:tcPr>
            <w:tcW w:type="dxa" w:w="1584"/>
            <w:shd w:fill="FFFFFF"/>
            <w:tcMar>
              <w:top w:w="80" w:type="dxa"/>
              <w:bottom w:w="80" w:type="dxa"/>
              <w:left w:w="120" w:type="dxa"/>
              <w:right w:w="120" w:type="dxa"/>
            </w:tcMar>
          </w:tcPr>
          <w:p>
            <w:pPr>
              <w:jc w:val="center"/>
            </w:pPr>
            <w:r>
              <w:rPr>
                <w:rFonts w:ascii="Arial" w:hAnsi="Arial"/>
                <w:sz w:val="17"/>
              </w:rPr>
              <w:t>mV (nominal)</w:t>
            </w:r>
          </w:p>
        </w:tc>
        <w:tc>
          <w:tcPr>
            <w:tcW w:type="dxa" w:w="4608"/>
            <w:shd w:fill="FFFFFF"/>
            <w:tcMar>
              <w:top w:w="80" w:type="dxa"/>
              <w:bottom w:w="80" w:type="dxa"/>
              <w:left w:w="120" w:type="dxa"/>
              <w:right w:w="120" w:type="dxa"/>
            </w:tcMar>
          </w:tcPr>
          <w:p>
            <w:pPr>
              <w:jc w:val="center"/>
            </w:pPr>
            <w:r>
              <w:rPr>
                <w:rFonts w:ascii="Arial" w:hAnsi="Arial"/>
                <w:sz w:val="17"/>
              </w:rPr>
              <w:t>Titania sensor response nominally targeted for NMHC.</w:t>
            </w:r>
          </w:p>
        </w:tc>
      </w:tr>
      <w:tr>
        <w:tc>
          <w:tcPr>
            <w:tcW w:type="dxa" w:w="1728"/>
            <w:shd w:fill="F7F9FC"/>
            <w:tcMar>
              <w:top w:w="80" w:type="dxa"/>
              <w:bottom w:w="80" w:type="dxa"/>
              <w:left w:w="120" w:type="dxa"/>
              <w:right w:w="120" w:type="dxa"/>
            </w:tcMar>
          </w:tcPr>
          <w:p>
            <w:pPr>
              <w:jc w:val="left"/>
            </w:pPr>
            <w:r>
              <w:rPr>
                <w:rFonts w:ascii="Arial" w:hAnsi="Arial"/>
                <w:sz w:val="17"/>
              </w:rPr>
              <w:t>NOx(GT)</w:t>
            </w:r>
          </w:p>
        </w:tc>
        <w:tc>
          <w:tcPr>
            <w:tcW w:type="dxa" w:w="1440"/>
            <w:shd w:fill="F7F9FC"/>
            <w:tcMar>
              <w:top w:w="80" w:type="dxa"/>
              <w:bottom w:w="80" w:type="dxa"/>
              <w:left w:w="120" w:type="dxa"/>
              <w:right w:w="120" w:type="dxa"/>
            </w:tcMar>
          </w:tcPr>
          <w:p>
            <w:pPr>
              <w:jc w:val="center"/>
            </w:pPr>
            <w:r>
              <w:rPr>
                <w:rFonts w:ascii="Arial" w:hAnsi="Arial"/>
                <w:sz w:val="17"/>
              </w:rPr>
              <w:t>Continuous</w:t>
            </w:r>
          </w:p>
        </w:tc>
        <w:tc>
          <w:tcPr>
            <w:tcW w:type="dxa" w:w="1584"/>
            <w:shd w:fill="F7F9FC"/>
            <w:tcMar>
              <w:top w:w="80" w:type="dxa"/>
              <w:bottom w:w="80" w:type="dxa"/>
              <w:left w:w="120" w:type="dxa"/>
              <w:right w:w="120" w:type="dxa"/>
            </w:tcMar>
          </w:tcPr>
          <w:p>
            <w:pPr>
              <w:jc w:val="center"/>
            </w:pPr>
            <w:r>
              <w:rPr>
                <w:rFonts w:ascii="Arial" w:hAnsi="Arial"/>
                <w:sz w:val="17"/>
              </w:rPr>
              <w:t>ppb</w:t>
            </w:r>
          </w:p>
        </w:tc>
        <w:tc>
          <w:tcPr>
            <w:tcW w:type="dxa" w:w="4608"/>
            <w:shd w:fill="F7F9FC"/>
            <w:tcMar>
              <w:top w:w="80" w:type="dxa"/>
              <w:bottom w:w="80" w:type="dxa"/>
              <w:left w:w="120" w:type="dxa"/>
              <w:right w:w="120" w:type="dxa"/>
            </w:tcMar>
          </w:tcPr>
          <w:p>
            <w:pPr>
              <w:jc w:val="center"/>
            </w:pPr>
            <w:r>
              <w:rPr>
                <w:rFonts w:ascii="Arial" w:hAnsi="Arial"/>
                <w:sz w:val="17"/>
              </w:rPr>
              <w:t>Ground-truth Nitrogen Oxides concentration (reference analyzer).</w:t>
            </w:r>
          </w:p>
        </w:tc>
      </w:tr>
      <w:tr>
        <w:tc>
          <w:tcPr>
            <w:tcW w:type="dxa" w:w="1728"/>
            <w:shd w:fill="FFFFFF"/>
            <w:tcMar>
              <w:top w:w="80" w:type="dxa"/>
              <w:bottom w:w="80" w:type="dxa"/>
              <w:left w:w="120" w:type="dxa"/>
              <w:right w:w="120" w:type="dxa"/>
            </w:tcMar>
          </w:tcPr>
          <w:p>
            <w:pPr>
              <w:jc w:val="left"/>
            </w:pPr>
            <w:r>
              <w:rPr>
                <w:rFonts w:ascii="Arial" w:hAnsi="Arial"/>
                <w:sz w:val="17"/>
              </w:rPr>
              <w:t>PT08.S3(NOx)</w:t>
            </w:r>
          </w:p>
        </w:tc>
        <w:tc>
          <w:tcPr>
            <w:tcW w:type="dxa" w:w="1440"/>
            <w:shd w:fill="FFFFFF"/>
            <w:tcMar>
              <w:top w:w="80" w:type="dxa"/>
              <w:bottom w:w="80" w:type="dxa"/>
              <w:left w:w="120" w:type="dxa"/>
              <w:right w:w="120" w:type="dxa"/>
            </w:tcMar>
          </w:tcPr>
          <w:p>
            <w:pPr>
              <w:jc w:val="center"/>
            </w:pPr>
            <w:r>
              <w:rPr>
                <w:rFonts w:ascii="Arial" w:hAnsi="Arial"/>
                <w:sz w:val="17"/>
              </w:rPr>
              <w:t>Continuous</w:t>
            </w:r>
          </w:p>
        </w:tc>
        <w:tc>
          <w:tcPr>
            <w:tcW w:type="dxa" w:w="1584"/>
            <w:shd w:fill="FFFFFF"/>
            <w:tcMar>
              <w:top w:w="80" w:type="dxa"/>
              <w:bottom w:w="80" w:type="dxa"/>
              <w:left w:w="120" w:type="dxa"/>
              <w:right w:w="120" w:type="dxa"/>
            </w:tcMar>
          </w:tcPr>
          <w:p>
            <w:pPr>
              <w:jc w:val="center"/>
            </w:pPr>
            <w:r>
              <w:rPr>
                <w:rFonts w:ascii="Arial" w:hAnsi="Arial"/>
                <w:sz w:val="17"/>
              </w:rPr>
              <w:t>mV (nominal)</w:t>
            </w:r>
          </w:p>
        </w:tc>
        <w:tc>
          <w:tcPr>
            <w:tcW w:type="dxa" w:w="4608"/>
            <w:shd w:fill="FFFFFF"/>
            <w:tcMar>
              <w:top w:w="80" w:type="dxa"/>
              <w:bottom w:w="80" w:type="dxa"/>
              <w:left w:w="120" w:type="dxa"/>
              <w:right w:w="120" w:type="dxa"/>
            </w:tcMar>
          </w:tcPr>
          <w:p>
            <w:pPr>
              <w:jc w:val="center"/>
            </w:pPr>
            <w:r>
              <w:rPr>
                <w:rFonts w:ascii="Arial" w:hAnsi="Arial"/>
                <w:sz w:val="17"/>
              </w:rPr>
              <w:t>Tungsten oxide sensor response nominally targeted for NOx.</w:t>
            </w:r>
          </w:p>
        </w:tc>
      </w:tr>
      <w:tr>
        <w:tc>
          <w:tcPr>
            <w:tcW w:type="dxa" w:w="1728"/>
            <w:shd w:fill="F7F9FC"/>
            <w:tcMar>
              <w:top w:w="80" w:type="dxa"/>
              <w:bottom w:w="80" w:type="dxa"/>
              <w:left w:w="120" w:type="dxa"/>
              <w:right w:w="120" w:type="dxa"/>
            </w:tcMar>
          </w:tcPr>
          <w:p>
            <w:pPr>
              <w:jc w:val="left"/>
            </w:pPr>
            <w:r>
              <w:rPr>
                <w:rFonts w:ascii="Arial" w:hAnsi="Arial"/>
                <w:sz w:val="17"/>
              </w:rPr>
              <w:t>NO2(GT)</w:t>
            </w:r>
          </w:p>
        </w:tc>
        <w:tc>
          <w:tcPr>
            <w:tcW w:type="dxa" w:w="1440"/>
            <w:shd w:fill="F7F9FC"/>
            <w:tcMar>
              <w:top w:w="80" w:type="dxa"/>
              <w:bottom w:w="80" w:type="dxa"/>
              <w:left w:w="120" w:type="dxa"/>
              <w:right w:w="120" w:type="dxa"/>
            </w:tcMar>
          </w:tcPr>
          <w:p>
            <w:pPr>
              <w:jc w:val="center"/>
            </w:pPr>
            <w:r>
              <w:rPr>
                <w:rFonts w:ascii="Arial" w:hAnsi="Arial"/>
                <w:sz w:val="17"/>
              </w:rPr>
              <w:t>Continuous</w:t>
            </w:r>
          </w:p>
        </w:tc>
        <w:tc>
          <w:tcPr>
            <w:tcW w:type="dxa" w:w="1584"/>
            <w:shd w:fill="F7F9FC"/>
            <w:tcMar>
              <w:top w:w="80" w:type="dxa"/>
              <w:bottom w:w="80" w:type="dxa"/>
              <w:left w:w="120" w:type="dxa"/>
              <w:right w:w="120" w:type="dxa"/>
            </w:tcMar>
          </w:tcPr>
          <w:p>
            <w:pPr>
              <w:jc w:val="center"/>
            </w:pPr>
            <w:r>
              <w:rPr>
                <w:rFonts w:ascii="Arial" w:hAnsi="Arial"/>
                <w:sz w:val="17"/>
              </w:rPr>
              <w:t>µg/m³</w:t>
            </w:r>
          </w:p>
        </w:tc>
        <w:tc>
          <w:tcPr>
            <w:tcW w:type="dxa" w:w="4608"/>
            <w:shd w:fill="F7F9FC"/>
            <w:tcMar>
              <w:top w:w="80" w:type="dxa"/>
              <w:bottom w:w="80" w:type="dxa"/>
              <w:left w:w="120" w:type="dxa"/>
              <w:right w:w="120" w:type="dxa"/>
            </w:tcMar>
          </w:tcPr>
          <w:p>
            <w:pPr>
              <w:jc w:val="center"/>
            </w:pPr>
            <w:r>
              <w:rPr>
                <w:rFonts w:ascii="Arial" w:hAnsi="Arial"/>
                <w:sz w:val="17"/>
              </w:rPr>
              <w:t>Ground-truth Nitrogen Dioxide concentration (reference analyzer).</w:t>
            </w:r>
          </w:p>
        </w:tc>
      </w:tr>
      <w:tr>
        <w:tc>
          <w:tcPr>
            <w:tcW w:type="dxa" w:w="1728"/>
            <w:shd w:fill="FFFFFF"/>
            <w:tcMar>
              <w:top w:w="80" w:type="dxa"/>
              <w:bottom w:w="80" w:type="dxa"/>
              <w:left w:w="120" w:type="dxa"/>
              <w:right w:w="120" w:type="dxa"/>
            </w:tcMar>
          </w:tcPr>
          <w:p>
            <w:pPr>
              <w:jc w:val="left"/>
            </w:pPr>
            <w:r>
              <w:rPr>
                <w:rFonts w:ascii="Arial" w:hAnsi="Arial"/>
                <w:sz w:val="17"/>
              </w:rPr>
              <w:t>PT08.S4(NO2)</w:t>
            </w:r>
          </w:p>
        </w:tc>
        <w:tc>
          <w:tcPr>
            <w:tcW w:type="dxa" w:w="1440"/>
            <w:shd w:fill="FFFFFF"/>
            <w:tcMar>
              <w:top w:w="80" w:type="dxa"/>
              <w:bottom w:w="80" w:type="dxa"/>
              <w:left w:w="120" w:type="dxa"/>
              <w:right w:w="120" w:type="dxa"/>
            </w:tcMar>
          </w:tcPr>
          <w:p>
            <w:pPr>
              <w:jc w:val="center"/>
            </w:pPr>
            <w:r>
              <w:rPr>
                <w:rFonts w:ascii="Arial" w:hAnsi="Arial"/>
                <w:sz w:val="17"/>
              </w:rPr>
              <w:t>Continuous</w:t>
            </w:r>
          </w:p>
        </w:tc>
        <w:tc>
          <w:tcPr>
            <w:tcW w:type="dxa" w:w="1584"/>
            <w:shd w:fill="FFFFFF"/>
            <w:tcMar>
              <w:top w:w="80" w:type="dxa"/>
              <w:bottom w:w="80" w:type="dxa"/>
              <w:left w:w="120" w:type="dxa"/>
              <w:right w:w="120" w:type="dxa"/>
            </w:tcMar>
          </w:tcPr>
          <w:p>
            <w:pPr>
              <w:jc w:val="center"/>
            </w:pPr>
            <w:r>
              <w:rPr>
                <w:rFonts w:ascii="Arial" w:hAnsi="Arial"/>
                <w:sz w:val="17"/>
              </w:rPr>
              <w:t>mV (nominal)</w:t>
            </w:r>
          </w:p>
        </w:tc>
        <w:tc>
          <w:tcPr>
            <w:tcW w:type="dxa" w:w="4608"/>
            <w:shd w:fill="FFFFFF"/>
            <w:tcMar>
              <w:top w:w="80" w:type="dxa"/>
              <w:bottom w:w="80" w:type="dxa"/>
              <w:left w:w="120" w:type="dxa"/>
              <w:right w:w="120" w:type="dxa"/>
            </w:tcMar>
          </w:tcPr>
          <w:p>
            <w:pPr>
              <w:jc w:val="center"/>
            </w:pPr>
            <w:r>
              <w:rPr>
                <w:rFonts w:ascii="Arial" w:hAnsi="Arial"/>
                <w:sz w:val="17"/>
              </w:rPr>
              <w:t>Tungsten oxide sensor response nominally targeted for NO2.</w:t>
            </w:r>
          </w:p>
        </w:tc>
      </w:tr>
      <w:tr>
        <w:tc>
          <w:tcPr>
            <w:tcW w:type="dxa" w:w="1728"/>
            <w:shd w:fill="F7F9FC"/>
            <w:tcMar>
              <w:top w:w="80" w:type="dxa"/>
              <w:bottom w:w="80" w:type="dxa"/>
              <w:left w:w="120" w:type="dxa"/>
              <w:right w:w="120" w:type="dxa"/>
            </w:tcMar>
          </w:tcPr>
          <w:p>
            <w:pPr>
              <w:jc w:val="left"/>
            </w:pPr>
            <w:r>
              <w:rPr>
                <w:rFonts w:ascii="Arial" w:hAnsi="Arial"/>
                <w:sz w:val="17"/>
              </w:rPr>
              <w:t>PT08.S5(O3)</w:t>
            </w:r>
          </w:p>
        </w:tc>
        <w:tc>
          <w:tcPr>
            <w:tcW w:type="dxa" w:w="1440"/>
            <w:shd w:fill="F7F9FC"/>
            <w:tcMar>
              <w:top w:w="80" w:type="dxa"/>
              <w:bottom w:w="80" w:type="dxa"/>
              <w:left w:w="120" w:type="dxa"/>
              <w:right w:w="120" w:type="dxa"/>
            </w:tcMar>
          </w:tcPr>
          <w:p>
            <w:pPr>
              <w:jc w:val="center"/>
            </w:pPr>
            <w:r>
              <w:rPr>
                <w:rFonts w:ascii="Arial" w:hAnsi="Arial"/>
                <w:sz w:val="17"/>
              </w:rPr>
              <w:t>Continuous</w:t>
            </w:r>
          </w:p>
        </w:tc>
        <w:tc>
          <w:tcPr>
            <w:tcW w:type="dxa" w:w="1584"/>
            <w:shd w:fill="F7F9FC"/>
            <w:tcMar>
              <w:top w:w="80" w:type="dxa"/>
              <w:bottom w:w="80" w:type="dxa"/>
              <w:left w:w="120" w:type="dxa"/>
              <w:right w:w="120" w:type="dxa"/>
            </w:tcMar>
          </w:tcPr>
          <w:p>
            <w:pPr>
              <w:jc w:val="center"/>
            </w:pPr>
            <w:r>
              <w:rPr>
                <w:rFonts w:ascii="Arial" w:hAnsi="Arial"/>
                <w:sz w:val="17"/>
              </w:rPr>
              <w:t>mV (nominal)</w:t>
            </w:r>
          </w:p>
        </w:tc>
        <w:tc>
          <w:tcPr>
            <w:tcW w:type="dxa" w:w="4608"/>
            <w:shd w:fill="F7F9FC"/>
            <w:tcMar>
              <w:top w:w="80" w:type="dxa"/>
              <w:bottom w:w="80" w:type="dxa"/>
              <w:left w:w="120" w:type="dxa"/>
              <w:right w:w="120" w:type="dxa"/>
            </w:tcMar>
          </w:tcPr>
          <w:p>
            <w:pPr>
              <w:jc w:val="center"/>
            </w:pPr>
            <w:r>
              <w:rPr>
                <w:rFonts w:ascii="Arial" w:hAnsi="Arial"/>
                <w:sz w:val="17"/>
              </w:rPr>
              <w:t>Indium oxide sensor response nominally targeted for Ozone.</w:t>
            </w:r>
          </w:p>
        </w:tc>
      </w:tr>
      <w:tr>
        <w:tc>
          <w:tcPr>
            <w:tcW w:type="dxa" w:w="1728"/>
            <w:shd w:fill="FFFFFF"/>
            <w:tcMar>
              <w:top w:w="80" w:type="dxa"/>
              <w:bottom w:w="80" w:type="dxa"/>
              <w:left w:w="120" w:type="dxa"/>
              <w:right w:w="120" w:type="dxa"/>
            </w:tcMar>
          </w:tcPr>
          <w:p>
            <w:pPr>
              <w:jc w:val="left"/>
            </w:pPr>
            <w:r>
              <w:rPr>
                <w:rFonts w:ascii="Arial" w:hAnsi="Arial"/>
                <w:sz w:val="17"/>
              </w:rPr>
              <w:t>T</w:t>
            </w:r>
          </w:p>
        </w:tc>
        <w:tc>
          <w:tcPr>
            <w:tcW w:type="dxa" w:w="1440"/>
            <w:shd w:fill="FFFFFF"/>
            <w:tcMar>
              <w:top w:w="80" w:type="dxa"/>
              <w:bottom w:w="80" w:type="dxa"/>
              <w:left w:w="120" w:type="dxa"/>
              <w:right w:w="120" w:type="dxa"/>
            </w:tcMar>
          </w:tcPr>
          <w:p>
            <w:pPr>
              <w:jc w:val="center"/>
            </w:pPr>
            <w:r>
              <w:rPr>
                <w:rFonts w:ascii="Arial" w:hAnsi="Arial"/>
                <w:sz w:val="17"/>
              </w:rPr>
              <w:t>Continuous</w:t>
            </w:r>
          </w:p>
        </w:tc>
        <w:tc>
          <w:tcPr>
            <w:tcW w:type="dxa" w:w="1584"/>
            <w:shd w:fill="FFFFFF"/>
            <w:tcMar>
              <w:top w:w="80" w:type="dxa"/>
              <w:bottom w:w="80" w:type="dxa"/>
              <w:left w:w="120" w:type="dxa"/>
              <w:right w:w="120" w:type="dxa"/>
            </w:tcMar>
          </w:tcPr>
          <w:p>
            <w:pPr>
              <w:jc w:val="center"/>
            </w:pPr>
            <w:r>
              <w:rPr>
                <w:rFonts w:ascii="Arial" w:hAnsi="Arial"/>
                <w:sz w:val="17"/>
              </w:rPr>
              <w:t>°C</w:t>
            </w:r>
          </w:p>
        </w:tc>
        <w:tc>
          <w:tcPr>
            <w:tcW w:type="dxa" w:w="4608"/>
            <w:shd w:fill="FFFFFF"/>
            <w:tcMar>
              <w:top w:w="80" w:type="dxa"/>
              <w:bottom w:w="80" w:type="dxa"/>
              <w:left w:w="120" w:type="dxa"/>
              <w:right w:w="120" w:type="dxa"/>
            </w:tcMar>
          </w:tcPr>
          <w:p>
            <w:pPr>
              <w:jc w:val="center"/>
            </w:pPr>
            <w:r>
              <w:rPr>
                <w:rFonts w:ascii="Arial" w:hAnsi="Arial"/>
                <w:sz w:val="17"/>
              </w:rPr>
              <w:t>Ambient temperature measured at the monitoring site.</w:t>
            </w:r>
          </w:p>
        </w:tc>
      </w:tr>
      <w:tr>
        <w:tc>
          <w:tcPr>
            <w:tcW w:type="dxa" w:w="1728"/>
            <w:shd w:fill="F7F9FC"/>
            <w:tcMar>
              <w:top w:w="80" w:type="dxa"/>
              <w:bottom w:w="80" w:type="dxa"/>
              <w:left w:w="120" w:type="dxa"/>
              <w:right w:w="120" w:type="dxa"/>
            </w:tcMar>
          </w:tcPr>
          <w:p>
            <w:pPr>
              <w:jc w:val="left"/>
            </w:pPr>
            <w:r>
              <w:rPr>
                <w:rFonts w:ascii="Arial" w:hAnsi="Arial"/>
                <w:sz w:val="17"/>
              </w:rPr>
              <w:t>RH</w:t>
            </w:r>
          </w:p>
        </w:tc>
        <w:tc>
          <w:tcPr>
            <w:tcW w:type="dxa" w:w="1440"/>
            <w:shd w:fill="F7F9FC"/>
            <w:tcMar>
              <w:top w:w="80" w:type="dxa"/>
              <w:bottom w:w="80" w:type="dxa"/>
              <w:left w:w="120" w:type="dxa"/>
              <w:right w:w="120" w:type="dxa"/>
            </w:tcMar>
          </w:tcPr>
          <w:p>
            <w:pPr>
              <w:jc w:val="center"/>
            </w:pPr>
            <w:r>
              <w:rPr>
                <w:rFonts w:ascii="Arial" w:hAnsi="Arial"/>
                <w:sz w:val="17"/>
              </w:rPr>
              <w:t>Continuous</w:t>
            </w:r>
          </w:p>
        </w:tc>
        <w:tc>
          <w:tcPr>
            <w:tcW w:type="dxa" w:w="1584"/>
            <w:shd w:fill="F7F9FC"/>
            <w:tcMar>
              <w:top w:w="80" w:type="dxa"/>
              <w:bottom w:w="80" w:type="dxa"/>
              <w:left w:w="120" w:type="dxa"/>
              <w:right w:w="120" w:type="dxa"/>
            </w:tcMar>
          </w:tcPr>
          <w:p>
            <w:pPr>
              <w:jc w:val="center"/>
            </w:pPr>
            <w:r>
              <w:rPr>
                <w:rFonts w:ascii="Arial" w:hAnsi="Arial"/>
                <w:sz w:val="17"/>
              </w:rPr>
              <w:t>%</w:t>
            </w:r>
          </w:p>
        </w:tc>
        <w:tc>
          <w:tcPr>
            <w:tcW w:type="dxa" w:w="4608"/>
            <w:shd w:fill="F7F9FC"/>
            <w:tcMar>
              <w:top w:w="80" w:type="dxa"/>
              <w:bottom w:w="80" w:type="dxa"/>
              <w:left w:w="120" w:type="dxa"/>
              <w:right w:w="120" w:type="dxa"/>
            </w:tcMar>
          </w:tcPr>
          <w:p>
            <w:pPr>
              <w:jc w:val="center"/>
            </w:pPr>
            <w:r>
              <w:rPr>
                <w:rFonts w:ascii="Arial" w:hAnsi="Arial"/>
                <w:sz w:val="17"/>
              </w:rPr>
              <w:t>Relative humidity measured at the monitoring site.</w:t>
            </w:r>
          </w:p>
        </w:tc>
      </w:tr>
      <w:tr>
        <w:tc>
          <w:tcPr>
            <w:tcW w:type="dxa" w:w="1728"/>
            <w:shd w:fill="FFFFFF"/>
            <w:tcMar>
              <w:top w:w="80" w:type="dxa"/>
              <w:bottom w:w="80" w:type="dxa"/>
              <w:left w:w="120" w:type="dxa"/>
              <w:right w:w="120" w:type="dxa"/>
            </w:tcMar>
          </w:tcPr>
          <w:p>
            <w:pPr>
              <w:jc w:val="left"/>
            </w:pPr>
            <w:r>
              <w:rPr>
                <w:rFonts w:ascii="Arial" w:hAnsi="Arial"/>
                <w:sz w:val="17"/>
              </w:rPr>
              <w:t>AH</w:t>
            </w:r>
          </w:p>
        </w:tc>
        <w:tc>
          <w:tcPr>
            <w:tcW w:type="dxa" w:w="1440"/>
            <w:shd w:fill="FFFFFF"/>
            <w:tcMar>
              <w:top w:w="80" w:type="dxa"/>
              <w:bottom w:w="80" w:type="dxa"/>
              <w:left w:w="120" w:type="dxa"/>
              <w:right w:w="120" w:type="dxa"/>
            </w:tcMar>
          </w:tcPr>
          <w:p>
            <w:pPr>
              <w:jc w:val="center"/>
            </w:pPr>
            <w:r>
              <w:rPr>
                <w:rFonts w:ascii="Arial" w:hAnsi="Arial"/>
                <w:sz w:val="17"/>
              </w:rPr>
              <w:t>Continuous</w:t>
            </w:r>
          </w:p>
        </w:tc>
        <w:tc>
          <w:tcPr>
            <w:tcW w:type="dxa" w:w="1584"/>
            <w:shd w:fill="FFFFFF"/>
            <w:tcMar>
              <w:top w:w="80" w:type="dxa"/>
              <w:bottom w:w="80" w:type="dxa"/>
              <w:left w:w="120" w:type="dxa"/>
              <w:right w:w="120" w:type="dxa"/>
            </w:tcMar>
          </w:tcPr>
          <w:p>
            <w:pPr>
              <w:jc w:val="center"/>
            </w:pPr>
            <w:r>
              <w:rPr>
                <w:rFonts w:ascii="Arial" w:hAnsi="Arial"/>
                <w:sz w:val="17"/>
              </w:rPr>
              <w:t>g/m³</w:t>
            </w:r>
          </w:p>
        </w:tc>
        <w:tc>
          <w:tcPr>
            <w:tcW w:type="dxa" w:w="4608"/>
            <w:shd w:fill="FFFFFF"/>
            <w:tcMar>
              <w:top w:w="80" w:type="dxa"/>
              <w:bottom w:w="80" w:type="dxa"/>
              <w:left w:w="120" w:type="dxa"/>
              <w:right w:w="120" w:type="dxa"/>
            </w:tcMar>
          </w:tcPr>
          <w:p>
            <w:pPr>
              <w:jc w:val="center"/>
            </w:pPr>
            <w:r>
              <w:rPr>
                <w:rFonts w:ascii="Arial" w:hAnsi="Arial"/>
                <w:sz w:val="17"/>
              </w:rPr>
              <w:t>Absolute humidity calculated from ambient temperature and RH.</w:t>
            </w:r>
          </w:p>
        </w:tc>
      </w:tr>
    </w:tbl>
    <w:p>
      <w:pPr>
        <w:spacing w:after="160"/>
      </w:pPr>
    </w:p>
    <w:p>
      <w:pPr>
        <w:spacing w:after="120" w:line="276" w:lineRule="auto"/>
      </w:pPr>
      <w:r>
        <w:rPr>
          <w:rFonts w:ascii="Arial" w:hAnsi="Arial"/>
          <w:b w:val="0"/>
          <w:i w:val="0"/>
          <w:sz w:val="20"/>
        </w:rPr>
        <w:t>Missing readings within the telemetry are systematically marked with the sentinel value -200.0, corresponding to analyzer calibration dropouts, power maintenance, or sensor saturation. Furthermore, NMHC(GT) exhibits 90.23% missingness due to reference equipment decommission early in the campaign. The dataset is distributed under the Creative Commons Attribution 4.0 International (CC BY 4.0) license.</w:t>
      </w:r>
    </w:p>
    <w:p>
      <w:pPr>
        <w:pStyle w:val="Heading1"/>
        <w:keepNext/>
        <w:spacing w:before="240" w:after="80"/>
      </w:pPr>
      <w:r>
        <w:rPr>
          <w:rFonts w:ascii="Arial" w:hAnsi="Arial"/>
          <w:b/>
          <w:color w:val="103460"/>
          <w:sz w:val="30"/>
        </w:rPr>
        <w:t>5. Data Understanding and Preprocessing Pipeline</w:t>
      </w:r>
    </w:p>
    <w:p>
      <w:pPr>
        <w:spacing w:after="120" w:line="276" w:lineRule="auto"/>
      </w:pPr>
      <w:r>
        <w:rPr>
          <w:rFonts w:ascii="Arial" w:hAnsi="Arial"/>
          <w:b w:val="0"/>
          <w:i w:val="0"/>
          <w:sz w:val="20"/>
        </w:rPr>
        <w:t>Data quality analysis established that raw sensor entries require rigorous sanitization before numerical modeling. The preprocessing pipeline executes the following stages:</w:t>
      </w:r>
    </w:p>
    <w:p>
      <w:pPr>
        <w:spacing w:after="120" w:line="276" w:lineRule="auto"/>
      </w:pPr>
      <w:r>
        <w:rPr>
          <w:rFonts w:ascii="Arial" w:hAnsi="Arial"/>
          <w:b w:val="0"/>
          <w:i w:val="0"/>
          <w:sz w:val="20"/>
        </w:rPr>
        <w:t>1. Format Normalization: Replaced commas with decimal dots, stripped empty trailing fields, and parsed Date and Time into a localized datetime series spanning 2004-03-10 18:00 to 2005-04-04 14:00.</w:t>
      </w:r>
    </w:p>
    <w:p>
      <w:pPr>
        <w:spacing w:after="120" w:line="276" w:lineRule="auto"/>
      </w:pPr>
      <w:r>
        <w:rPr>
          <w:rFonts w:ascii="Arial" w:hAnsi="Arial"/>
          <w:b w:val="0"/>
          <w:i w:val="0"/>
          <w:sz w:val="20"/>
        </w:rPr>
        <w:t>2. Sentinel Conversion: Replaced all -200.0 readings with IEEE NaN across numerical columns.</w:t>
      </w:r>
    </w:p>
    <w:p>
      <w:pPr>
        <w:spacing w:after="120" w:line="276" w:lineRule="auto"/>
      </w:pPr>
      <w:r>
        <w:rPr>
          <w:rFonts w:ascii="Arial" w:hAnsi="Arial"/>
          <w:b w:val="0"/>
          <w:i w:val="0"/>
          <w:sz w:val="20"/>
        </w:rPr>
        <w:t>3. Target Integrity: Evaluated ground-truth CO(GT). Exactly 1,683 records contained missing target observations (17.99%). In accordance with machine learning integrity standards, these unlabelled rows were completely removed rather than artificially imputed, yielding 7,674 usable ground-truth instances.</w:t>
      </w:r>
    </w:p>
    <w:p>
      <w:pPr>
        <w:spacing w:after="120" w:line="276" w:lineRule="auto"/>
      </w:pPr>
      <w:r>
        <w:rPr>
          <w:rFonts w:ascii="Arial" w:hAnsi="Arial"/>
          <w:b w:val="0"/>
          <w:i w:val="0"/>
          <w:sz w:val="20"/>
        </w:rPr>
        <w:t>4. Target Leakage Prevention: Excluded all reference laboratory ground-truth columns (NMHC(GT), C6H6(GT), NOx(GT), NO2(GT)) as inputs. If retained, these features would introduce catastrophic data leakage because certified reference monitors are not present in low-cost field nodes.</w:t>
      </w:r>
    </w:p>
    <w:p>
      <w:pPr>
        <w:spacing w:after="120" w:line="276" w:lineRule="auto"/>
      </w:pPr>
      <w:r>
        <w:rPr>
          <w:rFonts w:ascii="Arial" w:hAnsi="Arial"/>
          <w:b w:val="0"/>
          <w:i w:val="0"/>
          <w:sz w:val="20"/>
        </w:rPr>
        <w:t>5. Cyclical Feature Engineering: Engineered hour of day, month, day of week, and weekend indicators. Continuous harmonic representations were constructed: hour_sin, hour_cos, month_sin, and month_cos.</w:t>
      </w:r>
    </w:p>
    <w:p>
      <w:pPr>
        <w:spacing w:after="120" w:line="276" w:lineRule="auto"/>
      </w:pPr>
      <w:r>
        <w:rPr>
          <w:rFonts w:ascii="Arial" w:hAnsi="Arial"/>
          <w:b w:val="0"/>
          <w:i w:val="0"/>
          <w:sz w:val="20"/>
        </w:rPr>
        <w:t>6. Chronological Partitioning: Due to temporal autocorrelation in environmental telemetry, data was split chronologically rather than randomly: 70% Training (5,371 rows, March to Dec 2004), 15% Validation (1,151 rows, Dec 2004 to Feb 2005), and 15% Test (1,152 rows, Feb to April 2005).</w:t>
      </w:r>
    </w:p>
    <w:p>
      <w:pPr>
        <w:spacing w:after="120" w:line="276" w:lineRule="auto"/>
      </w:pPr>
      <w:r>
        <w:rPr>
          <w:rFonts w:ascii="Arial" w:hAnsi="Arial"/>
          <w:b w:val="0"/>
          <w:i w:val="0"/>
          <w:sz w:val="20"/>
        </w:rPr>
        <w:t>7. Train-Only Imputation and Standardization: Fitted SimpleImputer (median strategy) and StandardScaler exclusively on the 5,371 training rows. Validation and test partitions were transformed using these frozen estimators, completely eliminating data leakage.</w:t>
      </w:r>
    </w:p>
    <w:p>
      <w:pPr>
        <w:pStyle w:val="Heading2"/>
        <w:keepNext/>
        <w:spacing w:before="240" w:after="80"/>
      </w:pPr>
      <w:r>
        <w:rPr>
          <w:rFonts w:ascii="Arial" w:hAnsi="Arial"/>
          <w:b/>
          <w:color w:val="1E5082"/>
          <w:sz w:val="25"/>
        </w:rPr>
        <w:t>5.1 Data Quality Inspection Summary</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160"/>
            <w:shd w:fill="103460"/>
            <w:tcMar>
              <w:top w:w="120" w:type="dxa"/>
              <w:bottom w:w="120" w:type="dxa"/>
              <w:left w:w="140" w:type="dxa"/>
              <w:right w:w="140" w:type="dxa"/>
            </w:tcMar>
          </w:tcPr>
          <w:p>
            <w:pPr>
              <w:jc w:val="center"/>
            </w:pPr>
            <w:r>
              <w:rPr>
                <w:rFonts w:ascii="Arial" w:hAnsi="Arial"/>
                <w:b/>
                <w:color w:val="FFFFFF"/>
                <w:sz w:val="18"/>
              </w:rPr>
              <w:t>Feature</w:t>
            </w:r>
          </w:p>
        </w:tc>
        <w:tc>
          <w:tcPr>
            <w:tcW w:type="dxa" w:w="1296"/>
            <w:shd w:fill="103460"/>
            <w:tcMar>
              <w:top w:w="120" w:type="dxa"/>
              <w:bottom w:w="120" w:type="dxa"/>
              <w:left w:w="140" w:type="dxa"/>
              <w:right w:w="140" w:type="dxa"/>
            </w:tcMar>
          </w:tcPr>
          <w:p>
            <w:pPr>
              <w:jc w:val="center"/>
            </w:pPr>
            <w:r>
              <w:rPr>
                <w:rFonts w:ascii="Arial" w:hAnsi="Arial"/>
                <w:b/>
                <w:color w:val="FFFFFF"/>
                <w:sz w:val="18"/>
              </w:rPr>
              <w:t>DataType</w:t>
            </w:r>
          </w:p>
        </w:tc>
        <w:tc>
          <w:tcPr>
            <w:tcW w:type="dxa" w:w="1584"/>
            <w:shd w:fill="103460"/>
            <w:tcMar>
              <w:top w:w="120" w:type="dxa"/>
              <w:bottom w:w="120" w:type="dxa"/>
              <w:left w:w="140" w:type="dxa"/>
              <w:right w:w="140" w:type="dxa"/>
            </w:tcMar>
          </w:tcPr>
          <w:p>
            <w:pPr>
              <w:jc w:val="center"/>
            </w:pPr>
            <w:r>
              <w:rPr>
                <w:rFonts w:ascii="Arial" w:hAnsi="Arial"/>
                <w:b/>
                <w:color w:val="FFFFFF"/>
                <w:sz w:val="18"/>
              </w:rPr>
              <w:t>EffectiveMissing</w:t>
            </w:r>
          </w:p>
        </w:tc>
        <w:tc>
          <w:tcPr>
            <w:tcW w:type="dxa" w:w="1296"/>
            <w:shd w:fill="103460"/>
            <w:tcMar>
              <w:top w:w="120" w:type="dxa"/>
              <w:bottom w:w="120" w:type="dxa"/>
              <w:left w:w="140" w:type="dxa"/>
              <w:right w:w="140" w:type="dxa"/>
            </w:tcMar>
          </w:tcPr>
          <w:p>
            <w:pPr>
              <w:jc w:val="center"/>
            </w:pPr>
            <w:r>
              <w:rPr>
                <w:rFonts w:ascii="Arial" w:hAnsi="Arial"/>
                <w:b/>
                <w:color w:val="FFFFFF"/>
                <w:sz w:val="18"/>
              </w:rPr>
              <w:t>MissingPct</w:t>
            </w:r>
          </w:p>
        </w:tc>
        <w:tc>
          <w:tcPr>
            <w:tcW w:type="dxa" w:w="1008"/>
            <w:shd w:fill="103460"/>
            <w:tcMar>
              <w:top w:w="120" w:type="dxa"/>
              <w:bottom w:w="120" w:type="dxa"/>
              <w:left w:w="140" w:type="dxa"/>
              <w:right w:w="140" w:type="dxa"/>
            </w:tcMar>
          </w:tcPr>
          <w:p>
            <w:pPr>
              <w:jc w:val="center"/>
            </w:pPr>
            <w:r>
              <w:rPr>
                <w:rFonts w:ascii="Arial" w:hAnsi="Arial"/>
                <w:b/>
                <w:color w:val="FFFFFF"/>
                <w:sz w:val="18"/>
              </w:rPr>
              <w:t>Min</w:t>
            </w:r>
          </w:p>
        </w:tc>
        <w:tc>
          <w:tcPr>
            <w:tcW w:type="dxa" w:w="1008"/>
            <w:shd w:fill="103460"/>
            <w:tcMar>
              <w:top w:w="120" w:type="dxa"/>
              <w:bottom w:w="120" w:type="dxa"/>
              <w:left w:w="140" w:type="dxa"/>
              <w:right w:w="140" w:type="dxa"/>
            </w:tcMar>
          </w:tcPr>
          <w:p>
            <w:pPr>
              <w:jc w:val="center"/>
            </w:pPr>
            <w:r>
              <w:rPr>
                <w:rFonts w:ascii="Arial" w:hAnsi="Arial"/>
                <w:b/>
                <w:color w:val="FFFFFF"/>
                <w:sz w:val="18"/>
              </w:rPr>
              <w:t>Max</w:t>
            </w:r>
          </w:p>
        </w:tc>
        <w:tc>
          <w:tcPr>
            <w:tcW w:type="dxa" w:w="1008"/>
            <w:shd w:fill="103460"/>
            <w:tcMar>
              <w:top w:w="120" w:type="dxa"/>
              <w:bottom w:w="120" w:type="dxa"/>
              <w:left w:w="140" w:type="dxa"/>
              <w:right w:w="140" w:type="dxa"/>
            </w:tcMar>
          </w:tcPr>
          <w:p>
            <w:pPr>
              <w:jc w:val="center"/>
            </w:pPr>
            <w:r>
              <w:rPr>
                <w:rFonts w:ascii="Arial" w:hAnsi="Arial"/>
                <w:b/>
                <w:color w:val="FFFFFF"/>
                <w:sz w:val="18"/>
              </w:rPr>
              <w:t>Mean</w:t>
            </w:r>
          </w:p>
        </w:tc>
      </w:tr>
      <w:tr>
        <w:tc>
          <w:tcPr>
            <w:tcW w:type="dxa" w:w="2160"/>
            <w:shd w:fill="FFFFFF"/>
            <w:tcMar>
              <w:top w:w="80" w:type="dxa"/>
              <w:bottom w:w="80" w:type="dxa"/>
              <w:left w:w="120" w:type="dxa"/>
              <w:right w:w="120" w:type="dxa"/>
            </w:tcMar>
          </w:tcPr>
          <w:p>
            <w:pPr>
              <w:jc w:val="left"/>
            </w:pPr>
            <w:r>
              <w:rPr>
                <w:rFonts w:ascii="Arial" w:hAnsi="Arial"/>
                <w:sz w:val="17"/>
              </w:rPr>
              <w:t>Date</w:t>
            </w:r>
          </w:p>
        </w:tc>
        <w:tc>
          <w:tcPr>
            <w:tcW w:type="dxa" w:w="1296"/>
            <w:shd w:fill="FFFFFF"/>
            <w:tcMar>
              <w:top w:w="80" w:type="dxa"/>
              <w:bottom w:w="80" w:type="dxa"/>
              <w:left w:w="120" w:type="dxa"/>
              <w:right w:w="120" w:type="dxa"/>
            </w:tcMar>
          </w:tcPr>
          <w:p>
            <w:pPr>
              <w:jc w:val="center"/>
            </w:pPr>
            <w:r>
              <w:rPr>
                <w:rFonts w:ascii="Arial" w:hAnsi="Arial"/>
                <w:sz w:val="17"/>
              </w:rPr>
              <w:t>object</w:t>
            </w:r>
          </w:p>
        </w:tc>
        <w:tc>
          <w:tcPr>
            <w:tcW w:type="dxa" w:w="1584"/>
            <w:shd w:fill="FFFFFF"/>
            <w:tcMar>
              <w:top w:w="80" w:type="dxa"/>
              <w:bottom w:w="80" w:type="dxa"/>
              <w:left w:w="120" w:type="dxa"/>
              <w:right w:w="120" w:type="dxa"/>
            </w:tcMar>
          </w:tcPr>
          <w:p>
            <w:pPr>
              <w:jc w:val="center"/>
            </w:pPr>
            <w:r>
              <w:rPr>
                <w:rFonts w:ascii="Arial" w:hAnsi="Arial"/>
                <w:sz w:val="17"/>
              </w:rPr>
              <w:t>0</w:t>
            </w:r>
          </w:p>
        </w:tc>
        <w:tc>
          <w:tcPr>
            <w:tcW w:type="dxa" w:w="1296"/>
            <w:shd w:fill="FFFFFF"/>
            <w:tcMar>
              <w:top w:w="80" w:type="dxa"/>
              <w:bottom w:w="80" w:type="dxa"/>
              <w:left w:w="120" w:type="dxa"/>
              <w:right w:w="120" w:type="dxa"/>
            </w:tcMar>
          </w:tcPr>
          <w:p>
            <w:pPr>
              <w:jc w:val="center"/>
            </w:pPr>
            <w:r>
              <w:rPr>
                <w:rFonts w:ascii="Arial" w:hAnsi="Arial"/>
                <w:sz w:val="17"/>
              </w:rPr>
              <w:t>0.0</w:t>
            </w:r>
          </w:p>
        </w:tc>
        <w:tc>
          <w:tcPr>
            <w:tcW w:type="dxa" w:w="1008"/>
            <w:shd w:fill="FFFFFF"/>
            <w:tcMar>
              <w:top w:w="80" w:type="dxa"/>
              <w:bottom w:w="80" w:type="dxa"/>
              <w:left w:w="120" w:type="dxa"/>
              <w:right w:w="120" w:type="dxa"/>
            </w:tcMar>
          </w:tcPr>
          <w:p>
            <w:pPr>
              <w:jc w:val="center"/>
            </w:pPr>
            <w:r>
              <w:rPr>
                <w:rFonts w:ascii="Arial" w:hAnsi="Arial"/>
                <w:sz w:val="17"/>
              </w:rPr>
              <w:t>-</w:t>
            </w:r>
          </w:p>
        </w:tc>
        <w:tc>
          <w:tcPr>
            <w:tcW w:type="dxa" w:w="1008"/>
            <w:shd w:fill="FFFFFF"/>
            <w:tcMar>
              <w:top w:w="80" w:type="dxa"/>
              <w:bottom w:w="80" w:type="dxa"/>
              <w:left w:w="120" w:type="dxa"/>
              <w:right w:w="120" w:type="dxa"/>
            </w:tcMar>
          </w:tcPr>
          <w:p>
            <w:pPr>
              <w:jc w:val="center"/>
            </w:pPr>
            <w:r>
              <w:rPr>
                <w:rFonts w:ascii="Arial" w:hAnsi="Arial"/>
                <w:sz w:val="17"/>
              </w:rPr>
              <w:t>-</w:t>
            </w:r>
          </w:p>
        </w:tc>
        <w:tc>
          <w:tcPr>
            <w:tcW w:type="dxa" w:w="1008"/>
            <w:shd w:fill="FFFFFF"/>
            <w:tcMar>
              <w:top w:w="80" w:type="dxa"/>
              <w:bottom w:w="80" w:type="dxa"/>
              <w:left w:w="120" w:type="dxa"/>
              <w:right w:w="120" w:type="dxa"/>
            </w:tcMar>
          </w:tcPr>
          <w:p>
            <w:pPr>
              <w:jc w:val="center"/>
            </w:pPr>
            <w:r>
              <w:rPr>
                <w:rFonts w:ascii="Arial" w:hAnsi="Arial"/>
                <w:sz w:val="17"/>
              </w:rPr>
              <w:t>-</w:t>
            </w:r>
          </w:p>
        </w:tc>
      </w:tr>
      <w:tr>
        <w:tc>
          <w:tcPr>
            <w:tcW w:type="dxa" w:w="2160"/>
            <w:shd w:fill="F7F9FC"/>
            <w:tcMar>
              <w:top w:w="80" w:type="dxa"/>
              <w:bottom w:w="80" w:type="dxa"/>
              <w:left w:w="120" w:type="dxa"/>
              <w:right w:w="120" w:type="dxa"/>
            </w:tcMar>
          </w:tcPr>
          <w:p>
            <w:pPr>
              <w:jc w:val="left"/>
            </w:pPr>
            <w:r>
              <w:rPr>
                <w:rFonts w:ascii="Arial" w:hAnsi="Arial"/>
                <w:sz w:val="17"/>
              </w:rPr>
              <w:t>Time</w:t>
            </w:r>
          </w:p>
        </w:tc>
        <w:tc>
          <w:tcPr>
            <w:tcW w:type="dxa" w:w="1296"/>
            <w:shd w:fill="F7F9FC"/>
            <w:tcMar>
              <w:top w:w="80" w:type="dxa"/>
              <w:bottom w:w="80" w:type="dxa"/>
              <w:left w:w="120" w:type="dxa"/>
              <w:right w:w="120" w:type="dxa"/>
            </w:tcMar>
          </w:tcPr>
          <w:p>
            <w:pPr>
              <w:jc w:val="center"/>
            </w:pPr>
            <w:r>
              <w:rPr>
                <w:rFonts w:ascii="Arial" w:hAnsi="Arial"/>
                <w:sz w:val="17"/>
              </w:rPr>
              <w:t>object</w:t>
            </w:r>
          </w:p>
        </w:tc>
        <w:tc>
          <w:tcPr>
            <w:tcW w:type="dxa" w:w="1584"/>
            <w:shd w:fill="F7F9FC"/>
            <w:tcMar>
              <w:top w:w="80" w:type="dxa"/>
              <w:bottom w:w="80" w:type="dxa"/>
              <w:left w:w="120" w:type="dxa"/>
              <w:right w:w="120" w:type="dxa"/>
            </w:tcMar>
          </w:tcPr>
          <w:p>
            <w:pPr>
              <w:jc w:val="center"/>
            </w:pPr>
            <w:r>
              <w:rPr>
                <w:rFonts w:ascii="Arial" w:hAnsi="Arial"/>
                <w:sz w:val="17"/>
              </w:rPr>
              <w:t>0</w:t>
            </w:r>
          </w:p>
        </w:tc>
        <w:tc>
          <w:tcPr>
            <w:tcW w:type="dxa" w:w="1296"/>
            <w:shd w:fill="F7F9FC"/>
            <w:tcMar>
              <w:top w:w="80" w:type="dxa"/>
              <w:bottom w:w="80" w:type="dxa"/>
              <w:left w:w="120" w:type="dxa"/>
              <w:right w:w="120" w:type="dxa"/>
            </w:tcMar>
          </w:tcPr>
          <w:p>
            <w:pPr>
              <w:jc w:val="center"/>
            </w:pPr>
            <w:r>
              <w:rPr>
                <w:rFonts w:ascii="Arial" w:hAnsi="Arial"/>
                <w:sz w:val="17"/>
              </w:rPr>
              <w:t>0.0</w:t>
            </w:r>
          </w:p>
        </w:tc>
        <w:tc>
          <w:tcPr>
            <w:tcW w:type="dxa" w:w="1008"/>
            <w:shd w:fill="F7F9FC"/>
            <w:tcMar>
              <w:top w:w="80" w:type="dxa"/>
              <w:bottom w:w="80" w:type="dxa"/>
              <w:left w:w="120" w:type="dxa"/>
              <w:right w:w="120" w:type="dxa"/>
            </w:tcMar>
          </w:tcPr>
          <w:p>
            <w:pPr>
              <w:jc w:val="center"/>
            </w:pPr>
            <w:r>
              <w:rPr>
                <w:rFonts w:ascii="Arial" w:hAnsi="Arial"/>
                <w:sz w:val="17"/>
              </w:rPr>
              <w:t>-</w:t>
            </w:r>
          </w:p>
        </w:tc>
        <w:tc>
          <w:tcPr>
            <w:tcW w:type="dxa" w:w="1008"/>
            <w:shd w:fill="F7F9FC"/>
            <w:tcMar>
              <w:top w:w="80" w:type="dxa"/>
              <w:bottom w:w="80" w:type="dxa"/>
              <w:left w:w="120" w:type="dxa"/>
              <w:right w:w="120" w:type="dxa"/>
            </w:tcMar>
          </w:tcPr>
          <w:p>
            <w:pPr>
              <w:jc w:val="center"/>
            </w:pPr>
            <w:r>
              <w:rPr>
                <w:rFonts w:ascii="Arial" w:hAnsi="Arial"/>
                <w:sz w:val="17"/>
              </w:rPr>
              <w:t>-</w:t>
            </w:r>
          </w:p>
        </w:tc>
        <w:tc>
          <w:tcPr>
            <w:tcW w:type="dxa" w:w="1008"/>
            <w:shd w:fill="F7F9FC"/>
            <w:tcMar>
              <w:top w:w="80" w:type="dxa"/>
              <w:bottom w:w="80" w:type="dxa"/>
              <w:left w:w="120" w:type="dxa"/>
              <w:right w:w="120" w:type="dxa"/>
            </w:tcMar>
          </w:tcPr>
          <w:p>
            <w:pPr>
              <w:jc w:val="center"/>
            </w:pPr>
            <w:r>
              <w:rPr>
                <w:rFonts w:ascii="Arial" w:hAnsi="Arial"/>
                <w:sz w:val="17"/>
              </w:rPr>
              <w:t>-</w:t>
            </w:r>
          </w:p>
        </w:tc>
      </w:tr>
      <w:tr>
        <w:tc>
          <w:tcPr>
            <w:tcW w:type="dxa" w:w="2160"/>
            <w:shd w:fill="FFFFFF"/>
            <w:tcMar>
              <w:top w:w="80" w:type="dxa"/>
              <w:bottom w:w="80" w:type="dxa"/>
              <w:left w:w="120" w:type="dxa"/>
              <w:right w:w="120" w:type="dxa"/>
            </w:tcMar>
          </w:tcPr>
          <w:p>
            <w:pPr>
              <w:jc w:val="left"/>
            </w:pPr>
            <w:r>
              <w:rPr>
                <w:rFonts w:ascii="Arial" w:hAnsi="Arial"/>
                <w:sz w:val="17"/>
              </w:rPr>
              <w:t>CO(GT)</w:t>
            </w:r>
          </w:p>
        </w:tc>
        <w:tc>
          <w:tcPr>
            <w:tcW w:type="dxa" w:w="1296"/>
            <w:shd w:fill="FFFFFF"/>
            <w:tcMar>
              <w:top w:w="80" w:type="dxa"/>
              <w:bottom w:w="80" w:type="dxa"/>
              <w:left w:w="120" w:type="dxa"/>
              <w:right w:w="120" w:type="dxa"/>
            </w:tcMar>
          </w:tcPr>
          <w:p>
            <w:pPr>
              <w:jc w:val="center"/>
            </w:pPr>
            <w:r>
              <w:rPr>
                <w:rFonts w:ascii="Arial" w:hAnsi="Arial"/>
                <w:sz w:val="17"/>
              </w:rPr>
              <w:t>float64</w:t>
            </w:r>
          </w:p>
        </w:tc>
        <w:tc>
          <w:tcPr>
            <w:tcW w:type="dxa" w:w="1584"/>
            <w:shd w:fill="FFFFFF"/>
            <w:tcMar>
              <w:top w:w="80" w:type="dxa"/>
              <w:bottom w:w="80" w:type="dxa"/>
              <w:left w:w="120" w:type="dxa"/>
              <w:right w:w="120" w:type="dxa"/>
            </w:tcMar>
          </w:tcPr>
          <w:p>
            <w:pPr>
              <w:jc w:val="center"/>
            </w:pPr>
            <w:r>
              <w:rPr>
                <w:rFonts w:ascii="Arial" w:hAnsi="Arial"/>
                <w:sz w:val="17"/>
              </w:rPr>
              <w:t>1683</w:t>
            </w:r>
          </w:p>
        </w:tc>
        <w:tc>
          <w:tcPr>
            <w:tcW w:type="dxa" w:w="1296"/>
            <w:shd w:fill="FFFFFF"/>
            <w:tcMar>
              <w:top w:w="80" w:type="dxa"/>
              <w:bottom w:w="80" w:type="dxa"/>
              <w:left w:w="120" w:type="dxa"/>
              <w:right w:w="120" w:type="dxa"/>
            </w:tcMar>
          </w:tcPr>
          <w:p>
            <w:pPr>
              <w:jc w:val="center"/>
            </w:pPr>
            <w:r>
              <w:rPr>
                <w:rFonts w:ascii="Arial" w:hAnsi="Arial"/>
                <w:sz w:val="17"/>
              </w:rPr>
              <w:t>17.99</w:t>
            </w:r>
          </w:p>
        </w:tc>
        <w:tc>
          <w:tcPr>
            <w:tcW w:type="dxa" w:w="1008"/>
            <w:shd w:fill="FFFFFF"/>
            <w:tcMar>
              <w:top w:w="80" w:type="dxa"/>
              <w:bottom w:w="80" w:type="dxa"/>
              <w:left w:w="120" w:type="dxa"/>
              <w:right w:w="120" w:type="dxa"/>
            </w:tcMar>
          </w:tcPr>
          <w:p>
            <w:pPr>
              <w:jc w:val="center"/>
            </w:pPr>
            <w:r>
              <w:rPr>
                <w:rFonts w:ascii="Arial" w:hAnsi="Arial"/>
                <w:sz w:val="17"/>
              </w:rPr>
              <w:t>0.1</w:t>
            </w:r>
          </w:p>
        </w:tc>
        <w:tc>
          <w:tcPr>
            <w:tcW w:type="dxa" w:w="1008"/>
            <w:shd w:fill="FFFFFF"/>
            <w:tcMar>
              <w:top w:w="80" w:type="dxa"/>
              <w:bottom w:w="80" w:type="dxa"/>
              <w:left w:w="120" w:type="dxa"/>
              <w:right w:w="120" w:type="dxa"/>
            </w:tcMar>
          </w:tcPr>
          <w:p>
            <w:pPr>
              <w:jc w:val="center"/>
            </w:pPr>
            <w:r>
              <w:rPr>
                <w:rFonts w:ascii="Arial" w:hAnsi="Arial"/>
                <w:sz w:val="17"/>
              </w:rPr>
              <w:t>11.9</w:t>
            </w:r>
          </w:p>
        </w:tc>
        <w:tc>
          <w:tcPr>
            <w:tcW w:type="dxa" w:w="1008"/>
            <w:shd w:fill="FFFFFF"/>
            <w:tcMar>
              <w:top w:w="80" w:type="dxa"/>
              <w:bottom w:w="80" w:type="dxa"/>
              <w:left w:w="120" w:type="dxa"/>
              <w:right w:w="120" w:type="dxa"/>
            </w:tcMar>
          </w:tcPr>
          <w:p>
            <w:pPr>
              <w:jc w:val="center"/>
            </w:pPr>
            <w:r>
              <w:rPr>
                <w:rFonts w:ascii="Arial" w:hAnsi="Arial"/>
                <w:sz w:val="17"/>
              </w:rPr>
              <w:t>2.15</w:t>
            </w:r>
          </w:p>
        </w:tc>
      </w:tr>
      <w:tr>
        <w:tc>
          <w:tcPr>
            <w:tcW w:type="dxa" w:w="2160"/>
            <w:shd w:fill="F7F9FC"/>
            <w:tcMar>
              <w:top w:w="80" w:type="dxa"/>
              <w:bottom w:w="80" w:type="dxa"/>
              <w:left w:w="120" w:type="dxa"/>
              <w:right w:w="120" w:type="dxa"/>
            </w:tcMar>
          </w:tcPr>
          <w:p>
            <w:pPr>
              <w:jc w:val="left"/>
            </w:pPr>
            <w:r>
              <w:rPr>
                <w:rFonts w:ascii="Arial" w:hAnsi="Arial"/>
                <w:sz w:val="17"/>
              </w:rPr>
              <w:t>PT08.S1(CO)</w:t>
            </w:r>
          </w:p>
        </w:tc>
        <w:tc>
          <w:tcPr>
            <w:tcW w:type="dxa" w:w="1296"/>
            <w:shd w:fill="F7F9FC"/>
            <w:tcMar>
              <w:top w:w="80" w:type="dxa"/>
              <w:bottom w:w="80" w:type="dxa"/>
              <w:left w:w="120" w:type="dxa"/>
              <w:right w:w="120" w:type="dxa"/>
            </w:tcMar>
          </w:tcPr>
          <w:p>
            <w:pPr>
              <w:jc w:val="center"/>
            </w:pPr>
            <w:r>
              <w:rPr>
                <w:rFonts w:ascii="Arial" w:hAnsi="Arial"/>
                <w:sz w:val="17"/>
              </w:rPr>
              <w:t>float64</w:t>
            </w:r>
          </w:p>
        </w:tc>
        <w:tc>
          <w:tcPr>
            <w:tcW w:type="dxa" w:w="1584"/>
            <w:shd w:fill="F7F9FC"/>
            <w:tcMar>
              <w:top w:w="80" w:type="dxa"/>
              <w:bottom w:w="80" w:type="dxa"/>
              <w:left w:w="120" w:type="dxa"/>
              <w:right w:w="120" w:type="dxa"/>
            </w:tcMar>
          </w:tcPr>
          <w:p>
            <w:pPr>
              <w:jc w:val="center"/>
            </w:pPr>
            <w:r>
              <w:rPr>
                <w:rFonts w:ascii="Arial" w:hAnsi="Arial"/>
                <w:sz w:val="17"/>
              </w:rPr>
              <w:t>366</w:t>
            </w:r>
          </w:p>
        </w:tc>
        <w:tc>
          <w:tcPr>
            <w:tcW w:type="dxa" w:w="1296"/>
            <w:shd w:fill="F7F9FC"/>
            <w:tcMar>
              <w:top w:w="80" w:type="dxa"/>
              <w:bottom w:w="80" w:type="dxa"/>
              <w:left w:w="120" w:type="dxa"/>
              <w:right w:w="120" w:type="dxa"/>
            </w:tcMar>
          </w:tcPr>
          <w:p>
            <w:pPr>
              <w:jc w:val="center"/>
            </w:pPr>
            <w:r>
              <w:rPr>
                <w:rFonts w:ascii="Arial" w:hAnsi="Arial"/>
                <w:sz w:val="17"/>
              </w:rPr>
              <w:t>3.91</w:t>
            </w:r>
          </w:p>
        </w:tc>
        <w:tc>
          <w:tcPr>
            <w:tcW w:type="dxa" w:w="1008"/>
            <w:shd w:fill="F7F9FC"/>
            <w:tcMar>
              <w:top w:w="80" w:type="dxa"/>
              <w:bottom w:w="80" w:type="dxa"/>
              <w:left w:w="120" w:type="dxa"/>
              <w:right w:w="120" w:type="dxa"/>
            </w:tcMar>
          </w:tcPr>
          <w:p>
            <w:pPr>
              <w:jc w:val="center"/>
            </w:pPr>
            <w:r>
              <w:rPr>
                <w:rFonts w:ascii="Arial" w:hAnsi="Arial"/>
                <w:sz w:val="17"/>
              </w:rPr>
              <w:t>647.0</w:t>
            </w:r>
          </w:p>
        </w:tc>
        <w:tc>
          <w:tcPr>
            <w:tcW w:type="dxa" w:w="1008"/>
            <w:shd w:fill="F7F9FC"/>
            <w:tcMar>
              <w:top w:w="80" w:type="dxa"/>
              <w:bottom w:w="80" w:type="dxa"/>
              <w:left w:w="120" w:type="dxa"/>
              <w:right w:w="120" w:type="dxa"/>
            </w:tcMar>
          </w:tcPr>
          <w:p>
            <w:pPr>
              <w:jc w:val="center"/>
            </w:pPr>
            <w:r>
              <w:rPr>
                <w:rFonts w:ascii="Arial" w:hAnsi="Arial"/>
                <w:sz w:val="17"/>
              </w:rPr>
              <w:t>2040.0</w:t>
            </w:r>
          </w:p>
        </w:tc>
        <w:tc>
          <w:tcPr>
            <w:tcW w:type="dxa" w:w="1008"/>
            <w:shd w:fill="F7F9FC"/>
            <w:tcMar>
              <w:top w:w="80" w:type="dxa"/>
              <w:bottom w:w="80" w:type="dxa"/>
              <w:left w:w="120" w:type="dxa"/>
              <w:right w:w="120" w:type="dxa"/>
            </w:tcMar>
          </w:tcPr>
          <w:p>
            <w:pPr>
              <w:jc w:val="center"/>
            </w:pPr>
            <w:r>
              <w:rPr>
                <w:rFonts w:ascii="Arial" w:hAnsi="Arial"/>
                <w:sz w:val="17"/>
              </w:rPr>
              <w:t>1099.83</w:t>
            </w:r>
          </w:p>
        </w:tc>
      </w:tr>
      <w:tr>
        <w:tc>
          <w:tcPr>
            <w:tcW w:type="dxa" w:w="2160"/>
            <w:shd w:fill="FFFFFF"/>
            <w:tcMar>
              <w:top w:w="80" w:type="dxa"/>
              <w:bottom w:w="80" w:type="dxa"/>
              <w:left w:w="120" w:type="dxa"/>
              <w:right w:w="120" w:type="dxa"/>
            </w:tcMar>
          </w:tcPr>
          <w:p>
            <w:pPr>
              <w:jc w:val="left"/>
            </w:pPr>
            <w:r>
              <w:rPr>
                <w:rFonts w:ascii="Arial" w:hAnsi="Arial"/>
                <w:sz w:val="17"/>
              </w:rPr>
              <w:t>NMHC(GT)</w:t>
            </w:r>
          </w:p>
        </w:tc>
        <w:tc>
          <w:tcPr>
            <w:tcW w:type="dxa" w:w="1296"/>
            <w:shd w:fill="FFFFFF"/>
            <w:tcMar>
              <w:top w:w="80" w:type="dxa"/>
              <w:bottom w:w="80" w:type="dxa"/>
              <w:left w:w="120" w:type="dxa"/>
              <w:right w:w="120" w:type="dxa"/>
            </w:tcMar>
          </w:tcPr>
          <w:p>
            <w:pPr>
              <w:jc w:val="center"/>
            </w:pPr>
            <w:r>
              <w:rPr>
                <w:rFonts w:ascii="Arial" w:hAnsi="Arial"/>
                <w:sz w:val="17"/>
              </w:rPr>
              <w:t>float64</w:t>
            </w:r>
          </w:p>
        </w:tc>
        <w:tc>
          <w:tcPr>
            <w:tcW w:type="dxa" w:w="1584"/>
            <w:shd w:fill="FFFFFF"/>
            <w:tcMar>
              <w:top w:w="80" w:type="dxa"/>
              <w:bottom w:w="80" w:type="dxa"/>
              <w:left w:w="120" w:type="dxa"/>
              <w:right w:w="120" w:type="dxa"/>
            </w:tcMar>
          </w:tcPr>
          <w:p>
            <w:pPr>
              <w:jc w:val="center"/>
            </w:pPr>
            <w:r>
              <w:rPr>
                <w:rFonts w:ascii="Arial" w:hAnsi="Arial"/>
                <w:sz w:val="17"/>
              </w:rPr>
              <w:t>8443</w:t>
            </w:r>
          </w:p>
        </w:tc>
        <w:tc>
          <w:tcPr>
            <w:tcW w:type="dxa" w:w="1296"/>
            <w:shd w:fill="FFFFFF"/>
            <w:tcMar>
              <w:top w:w="80" w:type="dxa"/>
              <w:bottom w:w="80" w:type="dxa"/>
              <w:left w:w="120" w:type="dxa"/>
              <w:right w:w="120" w:type="dxa"/>
            </w:tcMar>
          </w:tcPr>
          <w:p>
            <w:pPr>
              <w:jc w:val="center"/>
            </w:pPr>
            <w:r>
              <w:rPr>
                <w:rFonts w:ascii="Arial" w:hAnsi="Arial"/>
                <w:sz w:val="17"/>
              </w:rPr>
              <w:t>90.23</w:t>
            </w:r>
          </w:p>
        </w:tc>
        <w:tc>
          <w:tcPr>
            <w:tcW w:type="dxa" w:w="1008"/>
            <w:shd w:fill="FFFFFF"/>
            <w:tcMar>
              <w:top w:w="80" w:type="dxa"/>
              <w:bottom w:w="80" w:type="dxa"/>
              <w:left w:w="120" w:type="dxa"/>
              <w:right w:w="120" w:type="dxa"/>
            </w:tcMar>
          </w:tcPr>
          <w:p>
            <w:pPr>
              <w:jc w:val="center"/>
            </w:pPr>
            <w:r>
              <w:rPr>
                <w:rFonts w:ascii="Arial" w:hAnsi="Arial"/>
                <w:sz w:val="17"/>
              </w:rPr>
              <w:t>7.0</w:t>
            </w:r>
          </w:p>
        </w:tc>
        <w:tc>
          <w:tcPr>
            <w:tcW w:type="dxa" w:w="1008"/>
            <w:shd w:fill="FFFFFF"/>
            <w:tcMar>
              <w:top w:w="80" w:type="dxa"/>
              <w:bottom w:w="80" w:type="dxa"/>
              <w:left w:w="120" w:type="dxa"/>
              <w:right w:w="120" w:type="dxa"/>
            </w:tcMar>
          </w:tcPr>
          <w:p>
            <w:pPr>
              <w:jc w:val="center"/>
            </w:pPr>
            <w:r>
              <w:rPr>
                <w:rFonts w:ascii="Arial" w:hAnsi="Arial"/>
                <w:sz w:val="17"/>
              </w:rPr>
              <w:t>1189.0</w:t>
            </w:r>
          </w:p>
        </w:tc>
        <w:tc>
          <w:tcPr>
            <w:tcW w:type="dxa" w:w="1008"/>
            <w:shd w:fill="FFFFFF"/>
            <w:tcMar>
              <w:top w:w="80" w:type="dxa"/>
              <w:bottom w:w="80" w:type="dxa"/>
              <w:left w:w="120" w:type="dxa"/>
              <w:right w:w="120" w:type="dxa"/>
            </w:tcMar>
          </w:tcPr>
          <w:p>
            <w:pPr>
              <w:jc w:val="center"/>
            </w:pPr>
            <w:r>
              <w:rPr>
                <w:rFonts w:ascii="Arial" w:hAnsi="Arial"/>
                <w:sz w:val="17"/>
              </w:rPr>
              <w:t>218.81</w:t>
            </w:r>
          </w:p>
        </w:tc>
      </w:tr>
      <w:tr>
        <w:tc>
          <w:tcPr>
            <w:tcW w:type="dxa" w:w="2160"/>
            <w:shd w:fill="F7F9FC"/>
            <w:tcMar>
              <w:top w:w="80" w:type="dxa"/>
              <w:bottom w:w="80" w:type="dxa"/>
              <w:left w:w="120" w:type="dxa"/>
              <w:right w:w="120" w:type="dxa"/>
            </w:tcMar>
          </w:tcPr>
          <w:p>
            <w:pPr>
              <w:jc w:val="left"/>
            </w:pPr>
            <w:r>
              <w:rPr>
                <w:rFonts w:ascii="Arial" w:hAnsi="Arial"/>
                <w:sz w:val="17"/>
              </w:rPr>
              <w:t>C6H6(GT)</w:t>
            </w:r>
          </w:p>
        </w:tc>
        <w:tc>
          <w:tcPr>
            <w:tcW w:type="dxa" w:w="1296"/>
            <w:shd w:fill="F7F9FC"/>
            <w:tcMar>
              <w:top w:w="80" w:type="dxa"/>
              <w:bottom w:w="80" w:type="dxa"/>
              <w:left w:w="120" w:type="dxa"/>
              <w:right w:w="120" w:type="dxa"/>
            </w:tcMar>
          </w:tcPr>
          <w:p>
            <w:pPr>
              <w:jc w:val="center"/>
            </w:pPr>
            <w:r>
              <w:rPr>
                <w:rFonts w:ascii="Arial" w:hAnsi="Arial"/>
                <w:sz w:val="17"/>
              </w:rPr>
              <w:t>float64</w:t>
            </w:r>
          </w:p>
        </w:tc>
        <w:tc>
          <w:tcPr>
            <w:tcW w:type="dxa" w:w="1584"/>
            <w:shd w:fill="F7F9FC"/>
            <w:tcMar>
              <w:top w:w="80" w:type="dxa"/>
              <w:bottom w:w="80" w:type="dxa"/>
              <w:left w:w="120" w:type="dxa"/>
              <w:right w:w="120" w:type="dxa"/>
            </w:tcMar>
          </w:tcPr>
          <w:p>
            <w:pPr>
              <w:jc w:val="center"/>
            </w:pPr>
            <w:r>
              <w:rPr>
                <w:rFonts w:ascii="Arial" w:hAnsi="Arial"/>
                <w:sz w:val="17"/>
              </w:rPr>
              <w:t>366</w:t>
            </w:r>
          </w:p>
        </w:tc>
        <w:tc>
          <w:tcPr>
            <w:tcW w:type="dxa" w:w="1296"/>
            <w:shd w:fill="F7F9FC"/>
            <w:tcMar>
              <w:top w:w="80" w:type="dxa"/>
              <w:bottom w:w="80" w:type="dxa"/>
              <w:left w:w="120" w:type="dxa"/>
              <w:right w:w="120" w:type="dxa"/>
            </w:tcMar>
          </w:tcPr>
          <w:p>
            <w:pPr>
              <w:jc w:val="center"/>
            </w:pPr>
            <w:r>
              <w:rPr>
                <w:rFonts w:ascii="Arial" w:hAnsi="Arial"/>
                <w:sz w:val="17"/>
              </w:rPr>
              <w:t>3.91</w:t>
            </w:r>
          </w:p>
        </w:tc>
        <w:tc>
          <w:tcPr>
            <w:tcW w:type="dxa" w:w="1008"/>
            <w:shd w:fill="F7F9FC"/>
            <w:tcMar>
              <w:top w:w="80" w:type="dxa"/>
              <w:bottom w:w="80" w:type="dxa"/>
              <w:left w:w="120" w:type="dxa"/>
              <w:right w:w="120" w:type="dxa"/>
            </w:tcMar>
          </w:tcPr>
          <w:p>
            <w:pPr>
              <w:jc w:val="center"/>
            </w:pPr>
            <w:r>
              <w:rPr>
                <w:rFonts w:ascii="Arial" w:hAnsi="Arial"/>
                <w:sz w:val="17"/>
              </w:rPr>
              <w:t>0.1</w:t>
            </w:r>
          </w:p>
        </w:tc>
        <w:tc>
          <w:tcPr>
            <w:tcW w:type="dxa" w:w="1008"/>
            <w:shd w:fill="F7F9FC"/>
            <w:tcMar>
              <w:top w:w="80" w:type="dxa"/>
              <w:bottom w:w="80" w:type="dxa"/>
              <w:left w:w="120" w:type="dxa"/>
              <w:right w:w="120" w:type="dxa"/>
            </w:tcMar>
          </w:tcPr>
          <w:p>
            <w:pPr>
              <w:jc w:val="center"/>
            </w:pPr>
            <w:r>
              <w:rPr>
                <w:rFonts w:ascii="Arial" w:hAnsi="Arial"/>
                <w:sz w:val="17"/>
              </w:rPr>
              <w:t>63.7</w:t>
            </w:r>
          </w:p>
        </w:tc>
        <w:tc>
          <w:tcPr>
            <w:tcW w:type="dxa" w:w="1008"/>
            <w:shd w:fill="F7F9FC"/>
            <w:tcMar>
              <w:top w:w="80" w:type="dxa"/>
              <w:bottom w:w="80" w:type="dxa"/>
              <w:left w:w="120" w:type="dxa"/>
              <w:right w:w="120" w:type="dxa"/>
            </w:tcMar>
          </w:tcPr>
          <w:p>
            <w:pPr>
              <w:jc w:val="center"/>
            </w:pPr>
            <w:r>
              <w:rPr>
                <w:rFonts w:ascii="Arial" w:hAnsi="Arial"/>
                <w:sz w:val="17"/>
              </w:rPr>
              <w:t>10.08</w:t>
            </w:r>
          </w:p>
        </w:tc>
      </w:tr>
      <w:tr>
        <w:tc>
          <w:tcPr>
            <w:tcW w:type="dxa" w:w="2160"/>
            <w:shd w:fill="FFFFFF"/>
            <w:tcMar>
              <w:top w:w="80" w:type="dxa"/>
              <w:bottom w:w="80" w:type="dxa"/>
              <w:left w:w="120" w:type="dxa"/>
              <w:right w:w="120" w:type="dxa"/>
            </w:tcMar>
          </w:tcPr>
          <w:p>
            <w:pPr>
              <w:jc w:val="left"/>
            </w:pPr>
            <w:r>
              <w:rPr>
                <w:rFonts w:ascii="Arial" w:hAnsi="Arial"/>
                <w:sz w:val="17"/>
              </w:rPr>
              <w:t>PT08.S2(NMHC)</w:t>
            </w:r>
          </w:p>
        </w:tc>
        <w:tc>
          <w:tcPr>
            <w:tcW w:type="dxa" w:w="1296"/>
            <w:shd w:fill="FFFFFF"/>
            <w:tcMar>
              <w:top w:w="80" w:type="dxa"/>
              <w:bottom w:w="80" w:type="dxa"/>
              <w:left w:w="120" w:type="dxa"/>
              <w:right w:w="120" w:type="dxa"/>
            </w:tcMar>
          </w:tcPr>
          <w:p>
            <w:pPr>
              <w:jc w:val="center"/>
            </w:pPr>
            <w:r>
              <w:rPr>
                <w:rFonts w:ascii="Arial" w:hAnsi="Arial"/>
                <w:sz w:val="17"/>
              </w:rPr>
              <w:t>float64</w:t>
            </w:r>
          </w:p>
        </w:tc>
        <w:tc>
          <w:tcPr>
            <w:tcW w:type="dxa" w:w="1584"/>
            <w:shd w:fill="FFFFFF"/>
            <w:tcMar>
              <w:top w:w="80" w:type="dxa"/>
              <w:bottom w:w="80" w:type="dxa"/>
              <w:left w:w="120" w:type="dxa"/>
              <w:right w:w="120" w:type="dxa"/>
            </w:tcMar>
          </w:tcPr>
          <w:p>
            <w:pPr>
              <w:jc w:val="center"/>
            </w:pPr>
            <w:r>
              <w:rPr>
                <w:rFonts w:ascii="Arial" w:hAnsi="Arial"/>
                <w:sz w:val="17"/>
              </w:rPr>
              <w:t>366</w:t>
            </w:r>
          </w:p>
        </w:tc>
        <w:tc>
          <w:tcPr>
            <w:tcW w:type="dxa" w:w="1296"/>
            <w:shd w:fill="FFFFFF"/>
            <w:tcMar>
              <w:top w:w="80" w:type="dxa"/>
              <w:bottom w:w="80" w:type="dxa"/>
              <w:left w:w="120" w:type="dxa"/>
              <w:right w:w="120" w:type="dxa"/>
            </w:tcMar>
          </w:tcPr>
          <w:p>
            <w:pPr>
              <w:jc w:val="center"/>
            </w:pPr>
            <w:r>
              <w:rPr>
                <w:rFonts w:ascii="Arial" w:hAnsi="Arial"/>
                <w:sz w:val="17"/>
              </w:rPr>
              <w:t>3.91</w:t>
            </w:r>
          </w:p>
        </w:tc>
        <w:tc>
          <w:tcPr>
            <w:tcW w:type="dxa" w:w="1008"/>
            <w:shd w:fill="FFFFFF"/>
            <w:tcMar>
              <w:top w:w="80" w:type="dxa"/>
              <w:bottom w:w="80" w:type="dxa"/>
              <w:left w:w="120" w:type="dxa"/>
              <w:right w:w="120" w:type="dxa"/>
            </w:tcMar>
          </w:tcPr>
          <w:p>
            <w:pPr>
              <w:jc w:val="center"/>
            </w:pPr>
            <w:r>
              <w:rPr>
                <w:rFonts w:ascii="Arial" w:hAnsi="Arial"/>
                <w:sz w:val="17"/>
              </w:rPr>
              <w:t>383.0</w:t>
            </w:r>
          </w:p>
        </w:tc>
        <w:tc>
          <w:tcPr>
            <w:tcW w:type="dxa" w:w="1008"/>
            <w:shd w:fill="FFFFFF"/>
            <w:tcMar>
              <w:top w:w="80" w:type="dxa"/>
              <w:bottom w:w="80" w:type="dxa"/>
              <w:left w:w="120" w:type="dxa"/>
              <w:right w:w="120" w:type="dxa"/>
            </w:tcMar>
          </w:tcPr>
          <w:p>
            <w:pPr>
              <w:jc w:val="center"/>
            </w:pPr>
            <w:r>
              <w:rPr>
                <w:rFonts w:ascii="Arial" w:hAnsi="Arial"/>
                <w:sz w:val="17"/>
              </w:rPr>
              <w:t>2214.0</w:t>
            </w:r>
          </w:p>
        </w:tc>
        <w:tc>
          <w:tcPr>
            <w:tcW w:type="dxa" w:w="1008"/>
            <w:shd w:fill="FFFFFF"/>
            <w:tcMar>
              <w:top w:w="80" w:type="dxa"/>
              <w:bottom w:w="80" w:type="dxa"/>
              <w:left w:w="120" w:type="dxa"/>
              <w:right w:w="120" w:type="dxa"/>
            </w:tcMar>
          </w:tcPr>
          <w:p>
            <w:pPr>
              <w:jc w:val="center"/>
            </w:pPr>
            <w:r>
              <w:rPr>
                <w:rFonts w:ascii="Arial" w:hAnsi="Arial"/>
                <w:sz w:val="17"/>
              </w:rPr>
              <w:t>939.15</w:t>
            </w:r>
          </w:p>
        </w:tc>
      </w:tr>
      <w:tr>
        <w:tc>
          <w:tcPr>
            <w:tcW w:type="dxa" w:w="2160"/>
            <w:shd w:fill="F7F9FC"/>
            <w:tcMar>
              <w:top w:w="80" w:type="dxa"/>
              <w:bottom w:w="80" w:type="dxa"/>
              <w:left w:w="120" w:type="dxa"/>
              <w:right w:w="120" w:type="dxa"/>
            </w:tcMar>
          </w:tcPr>
          <w:p>
            <w:pPr>
              <w:jc w:val="left"/>
            </w:pPr>
            <w:r>
              <w:rPr>
                <w:rFonts w:ascii="Arial" w:hAnsi="Arial"/>
                <w:sz w:val="17"/>
              </w:rPr>
              <w:t>NOx(GT)</w:t>
            </w:r>
          </w:p>
        </w:tc>
        <w:tc>
          <w:tcPr>
            <w:tcW w:type="dxa" w:w="1296"/>
            <w:shd w:fill="F7F9FC"/>
            <w:tcMar>
              <w:top w:w="80" w:type="dxa"/>
              <w:bottom w:w="80" w:type="dxa"/>
              <w:left w:w="120" w:type="dxa"/>
              <w:right w:w="120" w:type="dxa"/>
            </w:tcMar>
          </w:tcPr>
          <w:p>
            <w:pPr>
              <w:jc w:val="center"/>
            </w:pPr>
            <w:r>
              <w:rPr>
                <w:rFonts w:ascii="Arial" w:hAnsi="Arial"/>
                <w:sz w:val="17"/>
              </w:rPr>
              <w:t>float64</w:t>
            </w:r>
          </w:p>
        </w:tc>
        <w:tc>
          <w:tcPr>
            <w:tcW w:type="dxa" w:w="1584"/>
            <w:shd w:fill="F7F9FC"/>
            <w:tcMar>
              <w:top w:w="80" w:type="dxa"/>
              <w:bottom w:w="80" w:type="dxa"/>
              <w:left w:w="120" w:type="dxa"/>
              <w:right w:w="120" w:type="dxa"/>
            </w:tcMar>
          </w:tcPr>
          <w:p>
            <w:pPr>
              <w:jc w:val="center"/>
            </w:pPr>
            <w:r>
              <w:rPr>
                <w:rFonts w:ascii="Arial" w:hAnsi="Arial"/>
                <w:sz w:val="17"/>
              </w:rPr>
              <w:t>1639</w:t>
            </w:r>
          </w:p>
        </w:tc>
        <w:tc>
          <w:tcPr>
            <w:tcW w:type="dxa" w:w="1296"/>
            <w:shd w:fill="F7F9FC"/>
            <w:tcMar>
              <w:top w:w="80" w:type="dxa"/>
              <w:bottom w:w="80" w:type="dxa"/>
              <w:left w:w="120" w:type="dxa"/>
              <w:right w:w="120" w:type="dxa"/>
            </w:tcMar>
          </w:tcPr>
          <w:p>
            <w:pPr>
              <w:jc w:val="center"/>
            </w:pPr>
            <w:r>
              <w:rPr>
                <w:rFonts w:ascii="Arial" w:hAnsi="Arial"/>
                <w:sz w:val="17"/>
              </w:rPr>
              <w:t>17.52</w:t>
            </w:r>
          </w:p>
        </w:tc>
        <w:tc>
          <w:tcPr>
            <w:tcW w:type="dxa" w:w="1008"/>
            <w:shd w:fill="F7F9FC"/>
            <w:tcMar>
              <w:top w:w="80" w:type="dxa"/>
              <w:bottom w:w="80" w:type="dxa"/>
              <w:left w:w="120" w:type="dxa"/>
              <w:right w:w="120" w:type="dxa"/>
            </w:tcMar>
          </w:tcPr>
          <w:p>
            <w:pPr>
              <w:jc w:val="center"/>
            </w:pPr>
            <w:r>
              <w:rPr>
                <w:rFonts w:ascii="Arial" w:hAnsi="Arial"/>
                <w:sz w:val="17"/>
              </w:rPr>
              <w:t>2.0</w:t>
            </w:r>
          </w:p>
        </w:tc>
        <w:tc>
          <w:tcPr>
            <w:tcW w:type="dxa" w:w="1008"/>
            <w:shd w:fill="F7F9FC"/>
            <w:tcMar>
              <w:top w:w="80" w:type="dxa"/>
              <w:bottom w:w="80" w:type="dxa"/>
              <w:left w:w="120" w:type="dxa"/>
              <w:right w:w="120" w:type="dxa"/>
            </w:tcMar>
          </w:tcPr>
          <w:p>
            <w:pPr>
              <w:jc w:val="center"/>
            </w:pPr>
            <w:r>
              <w:rPr>
                <w:rFonts w:ascii="Arial" w:hAnsi="Arial"/>
                <w:sz w:val="17"/>
              </w:rPr>
              <w:t>1479.0</w:t>
            </w:r>
          </w:p>
        </w:tc>
        <w:tc>
          <w:tcPr>
            <w:tcW w:type="dxa" w:w="1008"/>
            <w:shd w:fill="F7F9FC"/>
            <w:tcMar>
              <w:top w:w="80" w:type="dxa"/>
              <w:bottom w:w="80" w:type="dxa"/>
              <w:left w:w="120" w:type="dxa"/>
              <w:right w:w="120" w:type="dxa"/>
            </w:tcMar>
          </w:tcPr>
          <w:p>
            <w:pPr>
              <w:jc w:val="center"/>
            </w:pPr>
            <w:r>
              <w:rPr>
                <w:rFonts w:ascii="Arial" w:hAnsi="Arial"/>
                <w:sz w:val="17"/>
              </w:rPr>
              <w:t>246.9</w:t>
            </w:r>
          </w:p>
        </w:tc>
      </w:tr>
      <w:tr>
        <w:tc>
          <w:tcPr>
            <w:tcW w:type="dxa" w:w="2160"/>
            <w:shd w:fill="FFFFFF"/>
            <w:tcMar>
              <w:top w:w="80" w:type="dxa"/>
              <w:bottom w:w="80" w:type="dxa"/>
              <w:left w:w="120" w:type="dxa"/>
              <w:right w:w="120" w:type="dxa"/>
            </w:tcMar>
          </w:tcPr>
          <w:p>
            <w:pPr>
              <w:jc w:val="left"/>
            </w:pPr>
            <w:r>
              <w:rPr>
                <w:rFonts w:ascii="Arial" w:hAnsi="Arial"/>
                <w:sz w:val="17"/>
              </w:rPr>
              <w:t>PT08.S3(NOx)</w:t>
            </w:r>
          </w:p>
        </w:tc>
        <w:tc>
          <w:tcPr>
            <w:tcW w:type="dxa" w:w="1296"/>
            <w:shd w:fill="FFFFFF"/>
            <w:tcMar>
              <w:top w:w="80" w:type="dxa"/>
              <w:bottom w:w="80" w:type="dxa"/>
              <w:left w:w="120" w:type="dxa"/>
              <w:right w:w="120" w:type="dxa"/>
            </w:tcMar>
          </w:tcPr>
          <w:p>
            <w:pPr>
              <w:jc w:val="center"/>
            </w:pPr>
            <w:r>
              <w:rPr>
                <w:rFonts w:ascii="Arial" w:hAnsi="Arial"/>
                <w:sz w:val="17"/>
              </w:rPr>
              <w:t>float64</w:t>
            </w:r>
          </w:p>
        </w:tc>
        <w:tc>
          <w:tcPr>
            <w:tcW w:type="dxa" w:w="1584"/>
            <w:shd w:fill="FFFFFF"/>
            <w:tcMar>
              <w:top w:w="80" w:type="dxa"/>
              <w:bottom w:w="80" w:type="dxa"/>
              <w:left w:w="120" w:type="dxa"/>
              <w:right w:w="120" w:type="dxa"/>
            </w:tcMar>
          </w:tcPr>
          <w:p>
            <w:pPr>
              <w:jc w:val="center"/>
            </w:pPr>
            <w:r>
              <w:rPr>
                <w:rFonts w:ascii="Arial" w:hAnsi="Arial"/>
                <w:sz w:val="17"/>
              </w:rPr>
              <w:t>366</w:t>
            </w:r>
          </w:p>
        </w:tc>
        <w:tc>
          <w:tcPr>
            <w:tcW w:type="dxa" w:w="1296"/>
            <w:shd w:fill="FFFFFF"/>
            <w:tcMar>
              <w:top w:w="80" w:type="dxa"/>
              <w:bottom w:w="80" w:type="dxa"/>
              <w:left w:w="120" w:type="dxa"/>
              <w:right w:w="120" w:type="dxa"/>
            </w:tcMar>
          </w:tcPr>
          <w:p>
            <w:pPr>
              <w:jc w:val="center"/>
            </w:pPr>
            <w:r>
              <w:rPr>
                <w:rFonts w:ascii="Arial" w:hAnsi="Arial"/>
                <w:sz w:val="17"/>
              </w:rPr>
              <w:t>3.91</w:t>
            </w:r>
          </w:p>
        </w:tc>
        <w:tc>
          <w:tcPr>
            <w:tcW w:type="dxa" w:w="1008"/>
            <w:shd w:fill="FFFFFF"/>
            <w:tcMar>
              <w:top w:w="80" w:type="dxa"/>
              <w:bottom w:w="80" w:type="dxa"/>
              <w:left w:w="120" w:type="dxa"/>
              <w:right w:w="120" w:type="dxa"/>
            </w:tcMar>
          </w:tcPr>
          <w:p>
            <w:pPr>
              <w:jc w:val="center"/>
            </w:pPr>
            <w:r>
              <w:rPr>
                <w:rFonts w:ascii="Arial" w:hAnsi="Arial"/>
                <w:sz w:val="17"/>
              </w:rPr>
              <w:t>322.0</w:t>
            </w:r>
          </w:p>
        </w:tc>
        <w:tc>
          <w:tcPr>
            <w:tcW w:type="dxa" w:w="1008"/>
            <w:shd w:fill="FFFFFF"/>
            <w:tcMar>
              <w:top w:w="80" w:type="dxa"/>
              <w:bottom w:w="80" w:type="dxa"/>
              <w:left w:w="120" w:type="dxa"/>
              <w:right w:w="120" w:type="dxa"/>
            </w:tcMar>
          </w:tcPr>
          <w:p>
            <w:pPr>
              <w:jc w:val="center"/>
            </w:pPr>
            <w:r>
              <w:rPr>
                <w:rFonts w:ascii="Arial" w:hAnsi="Arial"/>
                <w:sz w:val="17"/>
              </w:rPr>
              <w:t>2683.0</w:t>
            </w:r>
          </w:p>
        </w:tc>
        <w:tc>
          <w:tcPr>
            <w:tcW w:type="dxa" w:w="1008"/>
            <w:shd w:fill="FFFFFF"/>
            <w:tcMar>
              <w:top w:w="80" w:type="dxa"/>
              <w:bottom w:w="80" w:type="dxa"/>
              <w:left w:w="120" w:type="dxa"/>
              <w:right w:w="120" w:type="dxa"/>
            </w:tcMar>
          </w:tcPr>
          <w:p>
            <w:pPr>
              <w:jc w:val="center"/>
            </w:pPr>
            <w:r>
              <w:rPr>
                <w:rFonts w:ascii="Arial" w:hAnsi="Arial"/>
                <w:sz w:val="17"/>
              </w:rPr>
              <w:t>835.49</w:t>
            </w:r>
          </w:p>
        </w:tc>
      </w:tr>
      <w:tr>
        <w:tc>
          <w:tcPr>
            <w:tcW w:type="dxa" w:w="2160"/>
            <w:shd w:fill="F7F9FC"/>
            <w:tcMar>
              <w:top w:w="80" w:type="dxa"/>
              <w:bottom w:w="80" w:type="dxa"/>
              <w:left w:w="120" w:type="dxa"/>
              <w:right w:w="120" w:type="dxa"/>
            </w:tcMar>
          </w:tcPr>
          <w:p>
            <w:pPr>
              <w:jc w:val="left"/>
            </w:pPr>
            <w:r>
              <w:rPr>
                <w:rFonts w:ascii="Arial" w:hAnsi="Arial"/>
                <w:sz w:val="17"/>
              </w:rPr>
              <w:t>NO2(GT)</w:t>
            </w:r>
          </w:p>
        </w:tc>
        <w:tc>
          <w:tcPr>
            <w:tcW w:type="dxa" w:w="1296"/>
            <w:shd w:fill="F7F9FC"/>
            <w:tcMar>
              <w:top w:w="80" w:type="dxa"/>
              <w:bottom w:w="80" w:type="dxa"/>
              <w:left w:w="120" w:type="dxa"/>
              <w:right w:w="120" w:type="dxa"/>
            </w:tcMar>
          </w:tcPr>
          <w:p>
            <w:pPr>
              <w:jc w:val="center"/>
            </w:pPr>
            <w:r>
              <w:rPr>
                <w:rFonts w:ascii="Arial" w:hAnsi="Arial"/>
                <w:sz w:val="17"/>
              </w:rPr>
              <w:t>float64</w:t>
            </w:r>
          </w:p>
        </w:tc>
        <w:tc>
          <w:tcPr>
            <w:tcW w:type="dxa" w:w="1584"/>
            <w:shd w:fill="F7F9FC"/>
            <w:tcMar>
              <w:top w:w="80" w:type="dxa"/>
              <w:bottom w:w="80" w:type="dxa"/>
              <w:left w:w="120" w:type="dxa"/>
              <w:right w:w="120" w:type="dxa"/>
            </w:tcMar>
          </w:tcPr>
          <w:p>
            <w:pPr>
              <w:jc w:val="center"/>
            </w:pPr>
            <w:r>
              <w:rPr>
                <w:rFonts w:ascii="Arial" w:hAnsi="Arial"/>
                <w:sz w:val="17"/>
              </w:rPr>
              <w:t>1642</w:t>
            </w:r>
          </w:p>
        </w:tc>
        <w:tc>
          <w:tcPr>
            <w:tcW w:type="dxa" w:w="1296"/>
            <w:shd w:fill="F7F9FC"/>
            <w:tcMar>
              <w:top w:w="80" w:type="dxa"/>
              <w:bottom w:w="80" w:type="dxa"/>
              <w:left w:w="120" w:type="dxa"/>
              <w:right w:w="120" w:type="dxa"/>
            </w:tcMar>
          </w:tcPr>
          <w:p>
            <w:pPr>
              <w:jc w:val="center"/>
            </w:pPr>
            <w:r>
              <w:rPr>
                <w:rFonts w:ascii="Arial" w:hAnsi="Arial"/>
                <w:sz w:val="17"/>
              </w:rPr>
              <w:t>17.55</w:t>
            </w:r>
          </w:p>
        </w:tc>
        <w:tc>
          <w:tcPr>
            <w:tcW w:type="dxa" w:w="1008"/>
            <w:shd w:fill="F7F9FC"/>
            <w:tcMar>
              <w:top w:w="80" w:type="dxa"/>
              <w:bottom w:w="80" w:type="dxa"/>
              <w:left w:w="120" w:type="dxa"/>
              <w:right w:w="120" w:type="dxa"/>
            </w:tcMar>
          </w:tcPr>
          <w:p>
            <w:pPr>
              <w:jc w:val="center"/>
            </w:pPr>
            <w:r>
              <w:rPr>
                <w:rFonts w:ascii="Arial" w:hAnsi="Arial"/>
                <w:sz w:val="17"/>
              </w:rPr>
              <w:t>2.0</w:t>
            </w:r>
          </w:p>
        </w:tc>
        <w:tc>
          <w:tcPr>
            <w:tcW w:type="dxa" w:w="1008"/>
            <w:shd w:fill="F7F9FC"/>
            <w:tcMar>
              <w:top w:w="80" w:type="dxa"/>
              <w:bottom w:w="80" w:type="dxa"/>
              <w:left w:w="120" w:type="dxa"/>
              <w:right w:w="120" w:type="dxa"/>
            </w:tcMar>
          </w:tcPr>
          <w:p>
            <w:pPr>
              <w:jc w:val="center"/>
            </w:pPr>
            <w:r>
              <w:rPr>
                <w:rFonts w:ascii="Arial" w:hAnsi="Arial"/>
                <w:sz w:val="17"/>
              </w:rPr>
              <w:t>340.0</w:t>
            </w:r>
          </w:p>
        </w:tc>
        <w:tc>
          <w:tcPr>
            <w:tcW w:type="dxa" w:w="1008"/>
            <w:shd w:fill="F7F9FC"/>
            <w:tcMar>
              <w:top w:w="80" w:type="dxa"/>
              <w:bottom w:w="80" w:type="dxa"/>
              <w:left w:w="120" w:type="dxa"/>
              <w:right w:w="120" w:type="dxa"/>
            </w:tcMar>
          </w:tcPr>
          <w:p>
            <w:pPr>
              <w:jc w:val="center"/>
            </w:pPr>
            <w:r>
              <w:rPr>
                <w:rFonts w:ascii="Arial" w:hAnsi="Arial"/>
                <w:sz w:val="17"/>
              </w:rPr>
              <w:t>113.09</w:t>
            </w:r>
          </w:p>
        </w:tc>
      </w:tr>
      <w:tr>
        <w:tc>
          <w:tcPr>
            <w:tcW w:type="dxa" w:w="2160"/>
            <w:shd w:fill="FFFFFF"/>
            <w:tcMar>
              <w:top w:w="80" w:type="dxa"/>
              <w:bottom w:w="80" w:type="dxa"/>
              <w:left w:w="120" w:type="dxa"/>
              <w:right w:w="120" w:type="dxa"/>
            </w:tcMar>
          </w:tcPr>
          <w:p>
            <w:pPr>
              <w:jc w:val="left"/>
            </w:pPr>
            <w:r>
              <w:rPr>
                <w:rFonts w:ascii="Arial" w:hAnsi="Arial"/>
                <w:sz w:val="17"/>
              </w:rPr>
              <w:t>PT08.S4(NO2)</w:t>
            </w:r>
          </w:p>
        </w:tc>
        <w:tc>
          <w:tcPr>
            <w:tcW w:type="dxa" w:w="1296"/>
            <w:shd w:fill="FFFFFF"/>
            <w:tcMar>
              <w:top w:w="80" w:type="dxa"/>
              <w:bottom w:w="80" w:type="dxa"/>
              <w:left w:w="120" w:type="dxa"/>
              <w:right w:w="120" w:type="dxa"/>
            </w:tcMar>
          </w:tcPr>
          <w:p>
            <w:pPr>
              <w:jc w:val="center"/>
            </w:pPr>
            <w:r>
              <w:rPr>
                <w:rFonts w:ascii="Arial" w:hAnsi="Arial"/>
                <w:sz w:val="17"/>
              </w:rPr>
              <w:t>float64</w:t>
            </w:r>
          </w:p>
        </w:tc>
        <w:tc>
          <w:tcPr>
            <w:tcW w:type="dxa" w:w="1584"/>
            <w:shd w:fill="FFFFFF"/>
            <w:tcMar>
              <w:top w:w="80" w:type="dxa"/>
              <w:bottom w:w="80" w:type="dxa"/>
              <w:left w:w="120" w:type="dxa"/>
              <w:right w:w="120" w:type="dxa"/>
            </w:tcMar>
          </w:tcPr>
          <w:p>
            <w:pPr>
              <w:jc w:val="center"/>
            </w:pPr>
            <w:r>
              <w:rPr>
                <w:rFonts w:ascii="Arial" w:hAnsi="Arial"/>
                <w:sz w:val="17"/>
              </w:rPr>
              <w:t>366</w:t>
            </w:r>
          </w:p>
        </w:tc>
        <w:tc>
          <w:tcPr>
            <w:tcW w:type="dxa" w:w="1296"/>
            <w:shd w:fill="FFFFFF"/>
            <w:tcMar>
              <w:top w:w="80" w:type="dxa"/>
              <w:bottom w:w="80" w:type="dxa"/>
              <w:left w:w="120" w:type="dxa"/>
              <w:right w:w="120" w:type="dxa"/>
            </w:tcMar>
          </w:tcPr>
          <w:p>
            <w:pPr>
              <w:jc w:val="center"/>
            </w:pPr>
            <w:r>
              <w:rPr>
                <w:rFonts w:ascii="Arial" w:hAnsi="Arial"/>
                <w:sz w:val="17"/>
              </w:rPr>
              <w:t>3.91</w:t>
            </w:r>
          </w:p>
        </w:tc>
        <w:tc>
          <w:tcPr>
            <w:tcW w:type="dxa" w:w="1008"/>
            <w:shd w:fill="FFFFFF"/>
            <w:tcMar>
              <w:top w:w="80" w:type="dxa"/>
              <w:bottom w:w="80" w:type="dxa"/>
              <w:left w:w="120" w:type="dxa"/>
              <w:right w:w="120" w:type="dxa"/>
            </w:tcMar>
          </w:tcPr>
          <w:p>
            <w:pPr>
              <w:jc w:val="center"/>
            </w:pPr>
            <w:r>
              <w:rPr>
                <w:rFonts w:ascii="Arial" w:hAnsi="Arial"/>
                <w:sz w:val="17"/>
              </w:rPr>
              <w:t>551.0</w:t>
            </w:r>
          </w:p>
        </w:tc>
        <w:tc>
          <w:tcPr>
            <w:tcW w:type="dxa" w:w="1008"/>
            <w:shd w:fill="FFFFFF"/>
            <w:tcMar>
              <w:top w:w="80" w:type="dxa"/>
              <w:bottom w:w="80" w:type="dxa"/>
              <w:left w:w="120" w:type="dxa"/>
              <w:right w:w="120" w:type="dxa"/>
            </w:tcMar>
          </w:tcPr>
          <w:p>
            <w:pPr>
              <w:jc w:val="center"/>
            </w:pPr>
            <w:r>
              <w:rPr>
                <w:rFonts w:ascii="Arial" w:hAnsi="Arial"/>
                <w:sz w:val="17"/>
              </w:rPr>
              <w:t>2775.0</w:t>
            </w:r>
          </w:p>
        </w:tc>
        <w:tc>
          <w:tcPr>
            <w:tcW w:type="dxa" w:w="1008"/>
            <w:shd w:fill="FFFFFF"/>
            <w:tcMar>
              <w:top w:w="80" w:type="dxa"/>
              <w:bottom w:w="80" w:type="dxa"/>
              <w:left w:w="120" w:type="dxa"/>
              <w:right w:w="120" w:type="dxa"/>
            </w:tcMar>
          </w:tcPr>
          <w:p>
            <w:pPr>
              <w:jc w:val="center"/>
            </w:pPr>
            <w:r>
              <w:rPr>
                <w:rFonts w:ascii="Arial" w:hAnsi="Arial"/>
                <w:sz w:val="17"/>
              </w:rPr>
              <w:t>1456.26</w:t>
            </w:r>
          </w:p>
        </w:tc>
      </w:tr>
      <w:tr>
        <w:tc>
          <w:tcPr>
            <w:tcW w:type="dxa" w:w="2160"/>
            <w:shd w:fill="F7F9FC"/>
            <w:tcMar>
              <w:top w:w="80" w:type="dxa"/>
              <w:bottom w:w="80" w:type="dxa"/>
              <w:left w:w="120" w:type="dxa"/>
              <w:right w:w="120" w:type="dxa"/>
            </w:tcMar>
          </w:tcPr>
          <w:p>
            <w:pPr>
              <w:jc w:val="left"/>
            </w:pPr>
            <w:r>
              <w:rPr>
                <w:rFonts w:ascii="Arial" w:hAnsi="Arial"/>
                <w:sz w:val="17"/>
              </w:rPr>
              <w:t>PT08.S5(O3)</w:t>
            </w:r>
          </w:p>
        </w:tc>
        <w:tc>
          <w:tcPr>
            <w:tcW w:type="dxa" w:w="1296"/>
            <w:shd w:fill="F7F9FC"/>
            <w:tcMar>
              <w:top w:w="80" w:type="dxa"/>
              <w:bottom w:w="80" w:type="dxa"/>
              <w:left w:w="120" w:type="dxa"/>
              <w:right w:w="120" w:type="dxa"/>
            </w:tcMar>
          </w:tcPr>
          <w:p>
            <w:pPr>
              <w:jc w:val="center"/>
            </w:pPr>
            <w:r>
              <w:rPr>
                <w:rFonts w:ascii="Arial" w:hAnsi="Arial"/>
                <w:sz w:val="17"/>
              </w:rPr>
              <w:t>float64</w:t>
            </w:r>
          </w:p>
        </w:tc>
        <w:tc>
          <w:tcPr>
            <w:tcW w:type="dxa" w:w="1584"/>
            <w:shd w:fill="F7F9FC"/>
            <w:tcMar>
              <w:top w:w="80" w:type="dxa"/>
              <w:bottom w:w="80" w:type="dxa"/>
              <w:left w:w="120" w:type="dxa"/>
              <w:right w:w="120" w:type="dxa"/>
            </w:tcMar>
          </w:tcPr>
          <w:p>
            <w:pPr>
              <w:jc w:val="center"/>
            </w:pPr>
            <w:r>
              <w:rPr>
                <w:rFonts w:ascii="Arial" w:hAnsi="Arial"/>
                <w:sz w:val="17"/>
              </w:rPr>
              <w:t>366</w:t>
            </w:r>
          </w:p>
        </w:tc>
        <w:tc>
          <w:tcPr>
            <w:tcW w:type="dxa" w:w="1296"/>
            <w:shd w:fill="F7F9FC"/>
            <w:tcMar>
              <w:top w:w="80" w:type="dxa"/>
              <w:bottom w:w="80" w:type="dxa"/>
              <w:left w:w="120" w:type="dxa"/>
              <w:right w:w="120" w:type="dxa"/>
            </w:tcMar>
          </w:tcPr>
          <w:p>
            <w:pPr>
              <w:jc w:val="center"/>
            </w:pPr>
            <w:r>
              <w:rPr>
                <w:rFonts w:ascii="Arial" w:hAnsi="Arial"/>
                <w:sz w:val="17"/>
              </w:rPr>
              <w:t>3.91</w:t>
            </w:r>
          </w:p>
        </w:tc>
        <w:tc>
          <w:tcPr>
            <w:tcW w:type="dxa" w:w="1008"/>
            <w:shd w:fill="F7F9FC"/>
            <w:tcMar>
              <w:top w:w="80" w:type="dxa"/>
              <w:bottom w:w="80" w:type="dxa"/>
              <w:left w:w="120" w:type="dxa"/>
              <w:right w:w="120" w:type="dxa"/>
            </w:tcMar>
          </w:tcPr>
          <w:p>
            <w:pPr>
              <w:jc w:val="center"/>
            </w:pPr>
            <w:r>
              <w:rPr>
                <w:rFonts w:ascii="Arial" w:hAnsi="Arial"/>
                <w:sz w:val="17"/>
              </w:rPr>
              <w:t>221.0</w:t>
            </w:r>
          </w:p>
        </w:tc>
        <w:tc>
          <w:tcPr>
            <w:tcW w:type="dxa" w:w="1008"/>
            <w:shd w:fill="F7F9FC"/>
            <w:tcMar>
              <w:top w:w="80" w:type="dxa"/>
              <w:bottom w:w="80" w:type="dxa"/>
              <w:left w:w="120" w:type="dxa"/>
              <w:right w:w="120" w:type="dxa"/>
            </w:tcMar>
          </w:tcPr>
          <w:p>
            <w:pPr>
              <w:jc w:val="center"/>
            </w:pPr>
            <w:r>
              <w:rPr>
                <w:rFonts w:ascii="Arial" w:hAnsi="Arial"/>
                <w:sz w:val="17"/>
              </w:rPr>
              <w:t>2523.0</w:t>
            </w:r>
          </w:p>
        </w:tc>
        <w:tc>
          <w:tcPr>
            <w:tcW w:type="dxa" w:w="1008"/>
            <w:shd w:fill="F7F9FC"/>
            <w:tcMar>
              <w:top w:w="80" w:type="dxa"/>
              <w:bottom w:w="80" w:type="dxa"/>
              <w:left w:w="120" w:type="dxa"/>
              <w:right w:w="120" w:type="dxa"/>
            </w:tcMar>
          </w:tcPr>
          <w:p>
            <w:pPr>
              <w:jc w:val="center"/>
            </w:pPr>
            <w:r>
              <w:rPr>
                <w:rFonts w:ascii="Arial" w:hAnsi="Arial"/>
                <w:sz w:val="17"/>
              </w:rPr>
              <w:t>1022.91</w:t>
            </w:r>
          </w:p>
        </w:tc>
      </w:tr>
      <w:tr>
        <w:tc>
          <w:tcPr>
            <w:tcW w:type="dxa" w:w="2160"/>
            <w:shd w:fill="FFFFFF"/>
            <w:tcMar>
              <w:top w:w="80" w:type="dxa"/>
              <w:bottom w:w="80" w:type="dxa"/>
              <w:left w:w="120" w:type="dxa"/>
              <w:right w:w="120" w:type="dxa"/>
            </w:tcMar>
          </w:tcPr>
          <w:p>
            <w:pPr>
              <w:jc w:val="left"/>
            </w:pPr>
            <w:r>
              <w:rPr>
                <w:rFonts w:ascii="Arial" w:hAnsi="Arial"/>
                <w:sz w:val="17"/>
              </w:rPr>
              <w:t>T</w:t>
            </w:r>
          </w:p>
        </w:tc>
        <w:tc>
          <w:tcPr>
            <w:tcW w:type="dxa" w:w="1296"/>
            <w:shd w:fill="FFFFFF"/>
            <w:tcMar>
              <w:top w:w="80" w:type="dxa"/>
              <w:bottom w:w="80" w:type="dxa"/>
              <w:left w:w="120" w:type="dxa"/>
              <w:right w:w="120" w:type="dxa"/>
            </w:tcMar>
          </w:tcPr>
          <w:p>
            <w:pPr>
              <w:jc w:val="center"/>
            </w:pPr>
            <w:r>
              <w:rPr>
                <w:rFonts w:ascii="Arial" w:hAnsi="Arial"/>
                <w:sz w:val="17"/>
              </w:rPr>
              <w:t>float64</w:t>
            </w:r>
          </w:p>
        </w:tc>
        <w:tc>
          <w:tcPr>
            <w:tcW w:type="dxa" w:w="1584"/>
            <w:shd w:fill="FFFFFF"/>
            <w:tcMar>
              <w:top w:w="80" w:type="dxa"/>
              <w:bottom w:w="80" w:type="dxa"/>
              <w:left w:w="120" w:type="dxa"/>
              <w:right w:w="120" w:type="dxa"/>
            </w:tcMar>
          </w:tcPr>
          <w:p>
            <w:pPr>
              <w:jc w:val="center"/>
            </w:pPr>
            <w:r>
              <w:rPr>
                <w:rFonts w:ascii="Arial" w:hAnsi="Arial"/>
                <w:sz w:val="17"/>
              </w:rPr>
              <w:t>366</w:t>
            </w:r>
          </w:p>
        </w:tc>
        <w:tc>
          <w:tcPr>
            <w:tcW w:type="dxa" w:w="1296"/>
            <w:shd w:fill="FFFFFF"/>
            <w:tcMar>
              <w:top w:w="80" w:type="dxa"/>
              <w:bottom w:w="80" w:type="dxa"/>
              <w:left w:w="120" w:type="dxa"/>
              <w:right w:w="120" w:type="dxa"/>
            </w:tcMar>
          </w:tcPr>
          <w:p>
            <w:pPr>
              <w:jc w:val="center"/>
            </w:pPr>
            <w:r>
              <w:rPr>
                <w:rFonts w:ascii="Arial" w:hAnsi="Arial"/>
                <w:sz w:val="17"/>
              </w:rPr>
              <w:t>3.91</w:t>
            </w:r>
          </w:p>
        </w:tc>
        <w:tc>
          <w:tcPr>
            <w:tcW w:type="dxa" w:w="1008"/>
            <w:shd w:fill="FFFFFF"/>
            <w:tcMar>
              <w:top w:w="80" w:type="dxa"/>
              <w:bottom w:w="80" w:type="dxa"/>
              <w:left w:w="120" w:type="dxa"/>
              <w:right w:w="120" w:type="dxa"/>
            </w:tcMar>
          </w:tcPr>
          <w:p>
            <w:pPr>
              <w:jc w:val="center"/>
            </w:pPr>
            <w:r>
              <w:rPr>
                <w:rFonts w:ascii="Arial" w:hAnsi="Arial"/>
                <w:sz w:val="17"/>
              </w:rPr>
              <w:t>-1.9</w:t>
            </w:r>
          </w:p>
        </w:tc>
        <w:tc>
          <w:tcPr>
            <w:tcW w:type="dxa" w:w="1008"/>
            <w:shd w:fill="FFFFFF"/>
            <w:tcMar>
              <w:top w:w="80" w:type="dxa"/>
              <w:bottom w:w="80" w:type="dxa"/>
              <w:left w:w="120" w:type="dxa"/>
              <w:right w:w="120" w:type="dxa"/>
            </w:tcMar>
          </w:tcPr>
          <w:p>
            <w:pPr>
              <w:jc w:val="center"/>
            </w:pPr>
            <w:r>
              <w:rPr>
                <w:rFonts w:ascii="Arial" w:hAnsi="Arial"/>
                <w:sz w:val="17"/>
              </w:rPr>
              <w:t>44.6</w:t>
            </w:r>
          </w:p>
        </w:tc>
        <w:tc>
          <w:tcPr>
            <w:tcW w:type="dxa" w:w="1008"/>
            <w:shd w:fill="FFFFFF"/>
            <w:tcMar>
              <w:top w:w="80" w:type="dxa"/>
              <w:bottom w:w="80" w:type="dxa"/>
              <w:left w:w="120" w:type="dxa"/>
              <w:right w:w="120" w:type="dxa"/>
            </w:tcMar>
          </w:tcPr>
          <w:p>
            <w:pPr>
              <w:jc w:val="center"/>
            </w:pPr>
            <w:r>
              <w:rPr>
                <w:rFonts w:ascii="Arial" w:hAnsi="Arial"/>
                <w:sz w:val="17"/>
              </w:rPr>
              <w:t>18.32</w:t>
            </w:r>
          </w:p>
        </w:tc>
      </w:tr>
      <w:tr>
        <w:tc>
          <w:tcPr>
            <w:tcW w:type="dxa" w:w="2160"/>
            <w:shd w:fill="F7F9FC"/>
            <w:tcMar>
              <w:top w:w="80" w:type="dxa"/>
              <w:bottom w:w="80" w:type="dxa"/>
              <w:left w:w="120" w:type="dxa"/>
              <w:right w:w="120" w:type="dxa"/>
            </w:tcMar>
          </w:tcPr>
          <w:p>
            <w:pPr>
              <w:jc w:val="left"/>
            </w:pPr>
            <w:r>
              <w:rPr>
                <w:rFonts w:ascii="Arial" w:hAnsi="Arial"/>
                <w:sz w:val="17"/>
              </w:rPr>
              <w:t>RH</w:t>
            </w:r>
          </w:p>
        </w:tc>
        <w:tc>
          <w:tcPr>
            <w:tcW w:type="dxa" w:w="1296"/>
            <w:shd w:fill="F7F9FC"/>
            <w:tcMar>
              <w:top w:w="80" w:type="dxa"/>
              <w:bottom w:w="80" w:type="dxa"/>
              <w:left w:w="120" w:type="dxa"/>
              <w:right w:w="120" w:type="dxa"/>
            </w:tcMar>
          </w:tcPr>
          <w:p>
            <w:pPr>
              <w:jc w:val="center"/>
            </w:pPr>
            <w:r>
              <w:rPr>
                <w:rFonts w:ascii="Arial" w:hAnsi="Arial"/>
                <w:sz w:val="17"/>
              </w:rPr>
              <w:t>float64</w:t>
            </w:r>
          </w:p>
        </w:tc>
        <w:tc>
          <w:tcPr>
            <w:tcW w:type="dxa" w:w="1584"/>
            <w:shd w:fill="F7F9FC"/>
            <w:tcMar>
              <w:top w:w="80" w:type="dxa"/>
              <w:bottom w:w="80" w:type="dxa"/>
              <w:left w:w="120" w:type="dxa"/>
              <w:right w:w="120" w:type="dxa"/>
            </w:tcMar>
          </w:tcPr>
          <w:p>
            <w:pPr>
              <w:jc w:val="center"/>
            </w:pPr>
            <w:r>
              <w:rPr>
                <w:rFonts w:ascii="Arial" w:hAnsi="Arial"/>
                <w:sz w:val="17"/>
              </w:rPr>
              <w:t>366</w:t>
            </w:r>
          </w:p>
        </w:tc>
        <w:tc>
          <w:tcPr>
            <w:tcW w:type="dxa" w:w="1296"/>
            <w:shd w:fill="F7F9FC"/>
            <w:tcMar>
              <w:top w:w="80" w:type="dxa"/>
              <w:bottom w:w="80" w:type="dxa"/>
              <w:left w:w="120" w:type="dxa"/>
              <w:right w:w="120" w:type="dxa"/>
            </w:tcMar>
          </w:tcPr>
          <w:p>
            <w:pPr>
              <w:jc w:val="center"/>
            </w:pPr>
            <w:r>
              <w:rPr>
                <w:rFonts w:ascii="Arial" w:hAnsi="Arial"/>
                <w:sz w:val="17"/>
              </w:rPr>
              <w:t>3.91</w:t>
            </w:r>
          </w:p>
        </w:tc>
        <w:tc>
          <w:tcPr>
            <w:tcW w:type="dxa" w:w="1008"/>
            <w:shd w:fill="F7F9FC"/>
            <w:tcMar>
              <w:top w:w="80" w:type="dxa"/>
              <w:bottom w:w="80" w:type="dxa"/>
              <w:left w:w="120" w:type="dxa"/>
              <w:right w:w="120" w:type="dxa"/>
            </w:tcMar>
          </w:tcPr>
          <w:p>
            <w:pPr>
              <w:jc w:val="center"/>
            </w:pPr>
            <w:r>
              <w:rPr>
                <w:rFonts w:ascii="Arial" w:hAnsi="Arial"/>
                <w:sz w:val="17"/>
              </w:rPr>
              <w:t>9.2</w:t>
            </w:r>
          </w:p>
        </w:tc>
        <w:tc>
          <w:tcPr>
            <w:tcW w:type="dxa" w:w="1008"/>
            <w:shd w:fill="F7F9FC"/>
            <w:tcMar>
              <w:top w:w="80" w:type="dxa"/>
              <w:bottom w:w="80" w:type="dxa"/>
              <w:left w:w="120" w:type="dxa"/>
              <w:right w:w="120" w:type="dxa"/>
            </w:tcMar>
          </w:tcPr>
          <w:p>
            <w:pPr>
              <w:jc w:val="center"/>
            </w:pPr>
            <w:r>
              <w:rPr>
                <w:rFonts w:ascii="Arial" w:hAnsi="Arial"/>
                <w:sz w:val="17"/>
              </w:rPr>
              <w:t>88.7</w:t>
            </w:r>
          </w:p>
        </w:tc>
        <w:tc>
          <w:tcPr>
            <w:tcW w:type="dxa" w:w="1008"/>
            <w:shd w:fill="F7F9FC"/>
            <w:tcMar>
              <w:top w:w="80" w:type="dxa"/>
              <w:bottom w:w="80" w:type="dxa"/>
              <w:left w:w="120" w:type="dxa"/>
              <w:right w:w="120" w:type="dxa"/>
            </w:tcMar>
          </w:tcPr>
          <w:p>
            <w:pPr>
              <w:jc w:val="center"/>
            </w:pPr>
            <w:r>
              <w:rPr>
                <w:rFonts w:ascii="Arial" w:hAnsi="Arial"/>
                <w:sz w:val="17"/>
              </w:rPr>
              <w:t>49.23</w:t>
            </w:r>
          </w:p>
        </w:tc>
      </w:tr>
      <w:tr>
        <w:tc>
          <w:tcPr>
            <w:tcW w:type="dxa" w:w="2160"/>
            <w:shd w:fill="FFFFFF"/>
            <w:tcMar>
              <w:top w:w="80" w:type="dxa"/>
              <w:bottom w:w="80" w:type="dxa"/>
              <w:left w:w="120" w:type="dxa"/>
              <w:right w:w="120" w:type="dxa"/>
            </w:tcMar>
          </w:tcPr>
          <w:p>
            <w:pPr>
              <w:jc w:val="left"/>
            </w:pPr>
            <w:r>
              <w:rPr>
                <w:rFonts w:ascii="Arial" w:hAnsi="Arial"/>
                <w:sz w:val="17"/>
              </w:rPr>
              <w:t>AH</w:t>
            </w:r>
          </w:p>
        </w:tc>
        <w:tc>
          <w:tcPr>
            <w:tcW w:type="dxa" w:w="1296"/>
            <w:shd w:fill="FFFFFF"/>
            <w:tcMar>
              <w:top w:w="80" w:type="dxa"/>
              <w:bottom w:w="80" w:type="dxa"/>
              <w:left w:w="120" w:type="dxa"/>
              <w:right w:w="120" w:type="dxa"/>
            </w:tcMar>
          </w:tcPr>
          <w:p>
            <w:pPr>
              <w:jc w:val="center"/>
            </w:pPr>
            <w:r>
              <w:rPr>
                <w:rFonts w:ascii="Arial" w:hAnsi="Arial"/>
                <w:sz w:val="17"/>
              </w:rPr>
              <w:t>float64</w:t>
            </w:r>
          </w:p>
        </w:tc>
        <w:tc>
          <w:tcPr>
            <w:tcW w:type="dxa" w:w="1584"/>
            <w:shd w:fill="FFFFFF"/>
            <w:tcMar>
              <w:top w:w="80" w:type="dxa"/>
              <w:bottom w:w="80" w:type="dxa"/>
              <w:left w:w="120" w:type="dxa"/>
              <w:right w:w="120" w:type="dxa"/>
            </w:tcMar>
          </w:tcPr>
          <w:p>
            <w:pPr>
              <w:jc w:val="center"/>
            </w:pPr>
            <w:r>
              <w:rPr>
                <w:rFonts w:ascii="Arial" w:hAnsi="Arial"/>
                <w:sz w:val="17"/>
              </w:rPr>
              <w:t>366</w:t>
            </w:r>
          </w:p>
        </w:tc>
        <w:tc>
          <w:tcPr>
            <w:tcW w:type="dxa" w:w="1296"/>
            <w:shd w:fill="FFFFFF"/>
            <w:tcMar>
              <w:top w:w="80" w:type="dxa"/>
              <w:bottom w:w="80" w:type="dxa"/>
              <w:left w:w="120" w:type="dxa"/>
              <w:right w:w="120" w:type="dxa"/>
            </w:tcMar>
          </w:tcPr>
          <w:p>
            <w:pPr>
              <w:jc w:val="center"/>
            </w:pPr>
            <w:r>
              <w:rPr>
                <w:rFonts w:ascii="Arial" w:hAnsi="Arial"/>
                <w:sz w:val="17"/>
              </w:rPr>
              <w:t>3.91</w:t>
            </w:r>
          </w:p>
        </w:tc>
        <w:tc>
          <w:tcPr>
            <w:tcW w:type="dxa" w:w="1008"/>
            <w:shd w:fill="FFFFFF"/>
            <w:tcMar>
              <w:top w:w="80" w:type="dxa"/>
              <w:bottom w:w="80" w:type="dxa"/>
              <w:left w:w="120" w:type="dxa"/>
              <w:right w:w="120" w:type="dxa"/>
            </w:tcMar>
          </w:tcPr>
          <w:p>
            <w:pPr>
              <w:jc w:val="center"/>
            </w:pPr>
            <w:r>
              <w:rPr>
                <w:rFonts w:ascii="Arial" w:hAnsi="Arial"/>
                <w:sz w:val="17"/>
              </w:rPr>
              <w:t>0.1847</w:t>
            </w:r>
          </w:p>
        </w:tc>
        <w:tc>
          <w:tcPr>
            <w:tcW w:type="dxa" w:w="1008"/>
            <w:shd w:fill="FFFFFF"/>
            <w:tcMar>
              <w:top w:w="80" w:type="dxa"/>
              <w:bottom w:w="80" w:type="dxa"/>
              <w:left w:w="120" w:type="dxa"/>
              <w:right w:w="120" w:type="dxa"/>
            </w:tcMar>
          </w:tcPr>
          <w:p>
            <w:pPr>
              <w:jc w:val="center"/>
            </w:pPr>
            <w:r>
              <w:rPr>
                <w:rFonts w:ascii="Arial" w:hAnsi="Arial"/>
                <w:sz w:val="17"/>
              </w:rPr>
              <w:t>2.231</w:t>
            </w:r>
          </w:p>
        </w:tc>
        <w:tc>
          <w:tcPr>
            <w:tcW w:type="dxa" w:w="1008"/>
            <w:shd w:fill="FFFFFF"/>
            <w:tcMar>
              <w:top w:w="80" w:type="dxa"/>
              <w:bottom w:w="80" w:type="dxa"/>
              <w:left w:w="120" w:type="dxa"/>
              <w:right w:w="120" w:type="dxa"/>
            </w:tcMar>
          </w:tcPr>
          <w:p>
            <w:pPr>
              <w:jc w:val="center"/>
            </w:pPr>
            <w:r>
              <w:rPr>
                <w:rFonts w:ascii="Arial" w:hAnsi="Arial"/>
                <w:sz w:val="17"/>
              </w:rPr>
              <w:t>1.03</w:t>
            </w:r>
          </w:p>
        </w:tc>
      </w:tr>
    </w:tbl>
    <w:p>
      <w:pPr>
        <w:spacing w:after="160"/>
      </w:pPr>
    </w:p>
    <w:p>
      <w:pPr>
        <w:pStyle w:val="Heading1"/>
        <w:keepNext/>
        <w:spacing w:before="240" w:after="80"/>
      </w:pPr>
      <w:r>
        <w:rPr>
          <w:rFonts w:ascii="Arial" w:hAnsi="Arial"/>
          <w:b/>
          <w:color w:val="103460"/>
          <w:sz w:val="30"/>
        </w:rPr>
        <w:t>6. Exploratory Data Analysis and Visualization</w:t>
      </w:r>
    </w:p>
    <w:p>
      <w:pPr>
        <w:spacing w:after="120" w:line="276" w:lineRule="auto"/>
      </w:pPr>
      <w:r>
        <w:rPr>
          <w:rFonts w:ascii="Arial" w:hAnsi="Arial"/>
          <w:b w:val="0"/>
          <w:i w:val="0"/>
          <w:sz w:val="20"/>
        </w:rPr>
        <w:t>Nine publication-quality visualizations were constructed to thoroughly interrogate the dataset. Each visual is embedded below, accompanied by analytical findings.</w:t>
      </w:r>
    </w:p>
    <w:p>
      <w:pPr>
        <w:spacing w:before="120" w:after="40"/>
        <w:jc w:val="center"/>
      </w:pPr>
      <w:r>
        <w:drawing>
          <wp:inline xmlns:a="http://schemas.openxmlformats.org/drawingml/2006/main" xmlns:pic="http://schemas.openxmlformats.org/drawingml/2006/picture">
            <wp:extent cx="5303520" cy="3152379"/>
            <wp:docPr id="1" name="Picture 1"/>
            <wp:cNvGraphicFramePr>
              <a:graphicFrameLocks noChangeAspect="1"/>
            </wp:cNvGraphicFramePr>
            <a:graphic>
              <a:graphicData uri="http://schemas.openxmlformats.org/drawingml/2006/picture">
                <pic:pic>
                  <pic:nvPicPr>
                    <pic:cNvPr id="0" name="fig01_missing_values.png"/>
                    <pic:cNvPicPr/>
                  </pic:nvPicPr>
                  <pic:blipFill>
                    <a:blip r:embed="rId9"/>
                    <a:stretch>
                      <a:fillRect/>
                    </a:stretch>
                  </pic:blipFill>
                  <pic:spPr>
                    <a:xfrm>
                      <a:off x="0" y="0"/>
                      <a:ext cx="5303520" cy="3152379"/>
                    </a:xfrm>
                    <a:prstGeom prst="rect"/>
                  </pic:spPr>
                </pic:pic>
              </a:graphicData>
            </a:graphic>
          </wp:inline>
        </w:drawing>
      </w:r>
    </w:p>
    <w:p>
      <w:pPr>
        <w:spacing w:after="200"/>
        <w:jc w:val="center"/>
      </w:pPr>
      <w:r>
        <w:rPr>
          <w:rFonts w:ascii="Arial" w:hAnsi="Arial"/>
          <w:i/>
          <w:color w:val="505050"/>
          <w:sz w:val="18"/>
        </w:rPr>
        <w:t>Figure 1: Missing Value Percentage across Original UCI Attributes.</w:t>
      </w:r>
    </w:p>
    <w:p>
      <w:pPr>
        <w:spacing w:after="120" w:line="276" w:lineRule="auto"/>
      </w:pPr>
      <w:r>
        <w:rPr>
          <w:rFonts w:ascii="Arial" w:hAnsi="Arial"/>
          <w:b w:val="0"/>
          <w:i w:val="0"/>
          <w:sz w:val="20"/>
        </w:rPr>
        <w:t>Figure 1 illustrates the distribution of missingness across attributes. NMHC(GT) exhibits 90.23% missing data, rendering it unusable. Ground-truth pollutants CO(GT), NOx(GT), and NO2(GT) exhibit missingness between 17.5% and 18.0%. Conversely, all five solid-state chemical sensors (PT08.S1 to PT08.S5) and meteorological sensors exhibit an identical missing rate of only 3.91% (366 records), demonstrating that low-cost multisensor arrays provide far higher operational telemetry uptime than complex optical/chemical reference stations.</w:t>
      </w:r>
    </w:p>
    <w:p>
      <w:pPr>
        <w:spacing w:before="120" w:after="40"/>
        <w:jc w:val="center"/>
      </w:pPr>
      <w:r>
        <w:drawing>
          <wp:inline xmlns:a="http://schemas.openxmlformats.org/drawingml/2006/main" xmlns:pic="http://schemas.openxmlformats.org/drawingml/2006/picture">
            <wp:extent cx="5303520" cy="3208819"/>
            <wp:docPr id="2" name="Picture 2"/>
            <wp:cNvGraphicFramePr>
              <a:graphicFrameLocks noChangeAspect="1"/>
            </wp:cNvGraphicFramePr>
            <a:graphic>
              <a:graphicData uri="http://schemas.openxmlformats.org/drawingml/2006/picture">
                <pic:pic>
                  <pic:nvPicPr>
                    <pic:cNvPr id="0" name="fig02_target_distribution.png"/>
                    <pic:cNvPicPr/>
                  </pic:nvPicPr>
                  <pic:blipFill>
                    <a:blip r:embed="rId10"/>
                    <a:stretch>
                      <a:fillRect/>
                    </a:stretch>
                  </pic:blipFill>
                  <pic:spPr>
                    <a:xfrm>
                      <a:off x="0" y="0"/>
                      <a:ext cx="5303520" cy="3208819"/>
                    </a:xfrm>
                    <a:prstGeom prst="rect"/>
                  </pic:spPr>
                </pic:pic>
              </a:graphicData>
            </a:graphic>
          </wp:inline>
        </w:drawing>
      </w:r>
    </w:p>
    <w:p>
      <w:pPr>
        <w:spacing w:after="200"/>
        <w:jc w:val="center"/>
      </w:pPr>
      <w:r>
        <w:rPr>
          <w:rFonts w:ascii="Arial" w:hAnsi="Arial"/>
          <w:i/>
          <w:color w:val="505050"/>
          <w:sz w:val="18"/>
        </w:rPr>
        <w:t>Figure 2: Ground-Truth Measured CO(GT) Concentration Distribution.</w:t>
      </w:r>
    </w:p>
    <w:p>
      <w:pPr>
        <w:spacing w:after="120" w:line="276" w:lineRule="auto"/>
      </w:pPr>
      <w:r>
        <w:rPr>
          <w:rFonts w:ascii="Arial" w:hAnsi="Arial"/>
          <w:b w:val="0"/>
          <w:i w:val="0"/>
          <w:sz w:val="20"/>
        </w:rPr>
        <w:t>Figure 2 depicts the target variable CO(GT). The distribution is positively skewed (skewness = 1.03) with a sample mean of 2.15 mg/m³ and a median of 1.80 mg/m³. Concentrations span from 0.10 mg/m³ to a peak of 11.90 mg/m³ (IQR = 1.60 mg/m³). The pronounced right-tail represents severe urban pollution episodes during evening stagnation periods.</w:t>
      </w:r>
    </w:p>
    <w:p>
      <w:pPr>
        <w:spacing w:before="120" w:after="40"/>
        <w:jc w:val="center"/>
      </w:pPr>
      <w:r>
        <w:drawing>
          <wp:inline xmlns:a="http://schemas.openxmlformats.org/drawingml/2006/main" xmlns:pic="http://schemas.openxmlformats.org/drawingml/2006/picture">
            <wp:extent cx="5303520" cy="3132913"/>
            <wp:docPr id="3" name="Picture 3"/>
            <wp:cNvGraphicFramePr>
              <a:graphicFrameLocks noChangeAspect="1"/>
            </wp:cNvGraphicFramePr>
            <a:graphic>
              <a:graphicData uri="http://schemas.openxmlformats.org/drawingml/2006/picture">
                <pic:pic>
                  <pic:nvPicPr>
                    <pic:cNvPr id="0" name="fig03_sensor_distributions.png"/>
                    <pic:cNvPicPr/>
                  </pic:nvPicPr>
                  <pic:blipFill>
                    <a:blip r:embed="rId11"/>
                    <a:stretch>
                      <a:fillRect/>
                    </a:stretch>
                  </pic:blipFill>
                  <pic:spPr>
                    <a:xfrm>
                      <a:off x="0" y="0"/>
                      <a:ext cx="5303520" cy="3132913"/>
                    </a:xfrm>
                    <a:prstGeom prst="rect"/>
                  </pic:spPr>
                </pic:pic>
              </a:graphicData>
            </a:graphic>
          </wp:inline>
        </w:drawing>
      </w:r>
    </w:p>
    <w:p>
      <w:pPr>
        <w:spacing w:after="200"/>
        <w:jc w:val="center"/>
      </w:pPr>
      <w:r>
        <w:rPr>
          <w:rFonts w:ascii="Arial" w:hAnsi="Arial"/>
          <w:i/>
          <w:color w:val="505050"/>
          <w:sz w:val="18"/>
        </w:rPr>
        <w:t>Figure 3: Histograms and Continuous KDEs for Key Predictor Features.</w:t>
      </w:r>
    </w:p>
    <w:p>
      <w:pPr>
        <w:spacing w:after="120" w:line="276" w:lineRule="auto"/>
      </w:pPr>
      <w:r>
        <w:rPr>
          <w:rFonts w:ascii="Arial" w:hAnsi="Arial"/>
          <w:b w:val="0"/>
          <w:i w:val="0"/>
          <w:sz w:val="20"/>
        </w:rPr>
        <w:t>Figure 3 presents continuous distributions for chemical sensor responses and ambient meteorological inputs. PT08.S1(CO) exhibits a near-Gaussian distribution centered at 1,099 mV, while PT08.S2(NMHC) reflects moderate right-skewness. Temperature spans from -6.0°C to 44.6°C, Relative Humidity spans from 9.2% to 88.7%, and Absolute Humidity exhibits a bimodal seasonal profile.</w:t>
      </w:r>
    </w:p>
    <w:p>
      <w:pPr>
        <w:spacing w:before="120" w:after="40"/>
        <w:jc w:val="center"/>
      </w:pPr>
      <w:r>
        <w:drawing>
          <wp:inline xmlns:a="http://schemas.openxmlformats.org/drawingml/2006/main" xmlns:pic="http://schemas.openxmlformats.org/drawingml/2006/picture">
            <wp:extent cx="5303520" cy="2622718"/>
            <wp:docPr id="4" name="Picture 4"/>
            <wp:cNvGraphicFramePr>
              <a:graphicFrameLocks noChangeAspect="1"/>
            </wp:cNvGraphicFramePr>
            <a:graphic>
              <a:graphicData uri="http://schemas.openxmlformats.org/drawingml/2006/picture">
                <pic:pic>
                  <pic:nvPicPr>
                    <pic:cNvPr id="0" name="fig04_boxplots_outliers.png"/>
                    <pic:cNvPicPr/>
                  </pic:nvPicPr>
                  <pic:blipFill>
                    <a:blip r:embed="rId12"/>
                    <a:stretch>
                      <a:fillRect/>
                    </a:stretch>
                  </pic:blipFill>
                  <pic:spPr>
                    <a:xfrm>
                      <a:off x="0" y="0"/>
                      <a:ext cx="5303520" cy="2622718"/>
                    </a:xfrm>
                    <a:prstGeom prst="rect"/>
                  </pic:spPr>
                </pic:pic>
              </a:graphicData>
            </a:graphic>
          </wp:inline>
        </w:drawing>
      </w:r>
    </w:p>
    <w:p>
      <w:pPr>
        <w:spacing w:after="200"/>
        <w:jc w:val="center"/>
      </w:pPr>
      <w:r>
        <w:rPr>
          <w:rFonts w:ascii="Arial" w:hAnsi="Arial"/>
          <w:i/>
          <w:color w:val="505050"/>
          <w:sz w:val="18"/>
        </w:rPr>
        <w:t>Figure 4: Min-Max Normalized Boxplots Highlighting Spread and Outliers.</w:t>
      </w:r>
    </w:p>
    <w:p>
      <w:pPr>
        <w:spacing w:after="120" w:line="276" w:lineRule="auto"/>
      </w:pPr>
      <w:r>
        <w:rPr>
          <w:rFonts w:ascii="Arial" w:hAnsi="Arial"/>
          <w:b w:val="0"/>
          <w:i w:val="0"/>
          <w:sz w:val="20"/>
        </w:rPr>
        <w:t>Figure 4 summarizes feature ranges and outlier distributions. Rather than data corruption, extreme high values in PT08.S1, PT08.S2, and CO(GT) represent legitimate urban pollution episodes coinciding with meteorological thermal inversions. Preserving these valid extreme values is vital for model generalization during hazardous air quality alerts.</w:t>
      </w:r>
    </w:p>
    <w:p>
      <w:pPr>
        <w:spacing w:before="120" w:after="40"/>
        <w:jc w:val="center"/>
      </w:pPr>
      <w:r>
        <w:drawing>
          <wp:inline xmlns:a="http://schemas.openxmlformats.org/drawingml/2006/main" xmlns:pic="http://schemas.openxmlformats.org/drawingml/2006/picture">
            <wp:extent cx="5303520" cy="4791309"/>
            <wp:docPr id="5" name="Picture 5"/>
            <wp:cNvGraphicFramePr>
              <a:graphicFrameLocks noChangeAspect="1"/>
            </wp:cNvGraphicFramePr>
            <a:graphic>
              <a:graphicData uri="http://schemas.openxmlformats.org/drawingml/2006/picture">
                <pic:pic>
                  <pic:nvPicPr>
                    <pic:cNvPr id="0" name="fig05_correlation_heatmap.png"/>
                    <pic:cNvPicPr/>
                  </pic:nvPicPr>
                  <pic:blipFill>
                    <a:blip r:embed="rId13"/>
                    <a:stretch>
                      <a:fillRect/>
                    </a:stretch>
                  </pic:blipFill>
                  <pic:spPr>
                    <a:xfrm>
                      <a:off x="0" y="0"/>
                      <a:ext cx="5303520" cy="4791309"/>
                    </a:xfrm>
                    <a:prstGeom prst="rect"/>
                  </pic:spPr>
                </pic:pic>
              </a:graphicData>
            </a:graphic>
          </wp:inline>
        </w:drawing>
      </w:r>
    </w:p>
    <w:p>
      <w:pPr>
        <w:spacing w:after="200"/>
        <w:jc w:val="center"/>
      </w:pPr>
      <w:r>
        <w:rPr>
          <w:rFonts w:ascii="Arial" w:hAnsi="Arial"/>
          <w:i/>
          <w:color w:val="505050"/>
          <w:sz w:val="18"/>
        </w:rPr>
        <w:t>Figure 5: Pearson Correlation Matrix across Sensors, Weather, and Reference Analytes.</w:t>
      </w:r>
    </w:p>
    <w:p>
      <w:pPr>
        <w:spacing w:after="120" w:line="276" w:lineRule="auto"/>
      </w:pPr>
      <w:r>
        <w:rPr>
          <w:rFonts w:ascii="Arial" w:hAnsi="Arial"/>
          <w:b w:val="0"/>
          <w:i w:val="0"/>
          <w:sz w:val="20"/>
        </w:rPr>
        <w:t>Figure 5 reveals strong inter-variable correlations. Primary sensor PT08.S1(CO) correlates strongly with CO(GT) (r = 0.88), while PT08.S2(NMHC) exhibits r = 0.91 with CO(GT) and r = 0.98 with Benzene C6H6(GT), indicating high collinearity among combustion-generated hydrocarbons. Absolute humidity exhibits negative correlation with sensor resistance responses.</w:t>
      </w:r>
    </w:p>
    <w:p>
      <w:pPr>
        <w:spacing w:before="120" w:after="40"/>
        <w:jc w:val="center"/>
      </w:pPr>
      <w:r>
        <w:drawing>
          <wp:inline xmlns:a="http://schemas.openxmlformats.org/drawingml/2006/main" xmlns:pic="http://schemas.openxmlformats.org/drawingml/2006/picture">
            <wp:extent cx="5303520" cy="2052071"/>
            <wp:docPr id="6" name="Picture 6"/>
            <wp:cNvGraphicFramePr>
              <a:graphicFrameLocks noChangeAspect="1"/>
            </wp:cNvGraphicFramePr>
            <a:graphic>
              <a:graphicData uri="http://schemas.openxmlformats.org/drawingml/2006/picture">
                <pic:pic>
                  <pic:nvPicPr>
                    <pic:cNvPr id="0" name="fig06_time_series.png"/>
                    <pic:cNvPicPr/>
                  </pic:nvPicPr>
                  <pic:blipFill>
                    <a:blip r:embed="rId14"/>
                    <a:stretch>
                      <a:fillRect/>
                    </a:stretch>
                  </pic:blipFill>
                  <pic:spPr>
                    <a:xfrm>
                      <a:off x="0" y="0"/>
                      <a:ext cx="5303520" cy="2052071"/>
                    </a:xfrm>
                    <a:prstGeom prst="rect"/>
                  </pic:spPr>
                </pic:pic>
              </a:graphicData>
            </a:graphic>
          </wp:inline>
        </w:drawing>
      </w:r>
    </w:p>
    <w:p>
      <w:pPr>
        <w:spacing w:after="200"/>
        <w:jc w:val="center"/>
      </w:pPr>
      <w:r>
        <w:rPr>
          <w:rFonts w:ascii="Arial" w:hAnsi="Arial"/>
          <w:i/>
          <w:color w:val="505050"/>
          <w:sz w:val="18"/>
        </w:rPr>
        <w:t>Figure 6: Longitudinal Time-Series and 24-Hour Rolling Average of Observed CO(GT).</w:t>
      </w:r>
    </w:p>
    <w:p>
      <w:pPr>
        <w:spacing w:after="120" w:line="276" w:lineRule="auto"/>
      </w:pPr>
      <w:r>
        <w:rPr>
          <w:rFonts w:ascii="Arial" w:hAnsi="Arial"/>
          <w:b w:val="0"/>
          <w:i w:val="0"/>
          <w:sz w:val="20"/>
        </w:rPr>
        <w:t>Figure 6 displays the longitudinal progression of CO(GT) across 13 months. A distinct seasonal trend is visible: winter months (Nov 2004 to Feb 2005) exhibit significantly higher baseline concentrations and sharper peak spikes due to domestic heating emissions and low atmospheric boundary layer heights.</w:t>
      </w:r>
    </w:p>
    <w:p>
      <w:pPr>
        <w:spacing w:before="120" w:after="40"/>
        <w:jc w:val="center"/>
      </w:pPr>
      <w:r>
        <w:drawing>
          <wp:inline xmlns:a="http://schemas.openxmlformats.org/drawingml/2006/main" xmlns:pic="http://schemas.openxmlformats.org/drawingml/2006/picture">
            <wp:extent cx="5303520" cy="3719434"/>
            <wp:docPr id="7" name="Picture 7"/>
            <wp:cNvGraphicFramePr>
              <a:graphicFrameLocks noChangeAspect="1"/>
            </wp:cNvGraphicFramePr>
            <a:graphic>
              <a:graphicData uri="http://schemas.openxmlformats.org/drawingml/2006/picture">
                <pic:pic>
                  <pic:nvPicPr>
                    <pic:cNvPr id="0" name="fig07_bivariate_scatter.png"/>
                    <pic:cNvPicPr/>
                  </pic:nvPicPr>
                  <pic:blipFill>
                    <a:blip r:embed="rId15"/>
                    <a:stretch>
                      <a:fillRect/>
                    </a:stretch>
                  </pic:blipFill>
                  <pic:spPr>
                    <a:xfrm>
                      <a:off x="0" y="0"/>
                      <a:ext cx="5303520" cy="3719434"/>
                    </a:xfrm>
                    <a:prstGeom prst="rect"/>
                  </pic:spPr>
                </pic:pic>
              </a:graphicData>
            </a:graphic>
          </wp:inline>
        </w:drawing>
      </w:r>
    </w:p>
    <w:p>
      <w:pPr>
        <w:spacing w:after="200"/>
        <w:jc w:val="center"/>
      </w:pPr>
      <w:r>
        <w:rPr>
          <w:rFonts w:ascii="Arial" w:hAnsi="Arial"/>
          <w:i/>
          <w:color w:val="505050"/>
          <w:sz w:val="18"/>
        </w:rPr>
        <w:t>Figure 7: Bivariate Scatterplot of Target CO(GT) versus PT08.S1(CO) Sensor Response.</w:t>
      </w:r>
    </w:p>
    <w:p>
      <w:pPr>
        <w:spacing w:after="120" w:line="276" w:lineRule="auto"/>
      </w:pPr>
      <w:r>
        <w:rPr>
          <w:rFonts w:ascii="Arial" w:hAnsi="Arial"/>
          <w:b w:val="0"/>
          <w:i w:val="0"/>
          <w:sz w:val="20"/>
        </w:rPr>
        <w:t>Figure 7 demonstrates the strong linear relationship between PT08.S1(CO) nominal sensor response and actual CO concentration (Pearson r = 0.88, R² = 0.77). The residual dispersion increases at higher pollutant concentrations, reflecting semiconductor sensor saturation and temperature-dependent drift.</w:t>
      </w:r>
    </w:p>
    <w:p>
      <w:pPr>
        <w:spacing w:before="120" w:after="40"/>
        <w:jc w:val="center"/>
      </w:pPr>
      <w:r>
        <w:drawing>
          <wp:inline xmlns:a="http://schemas.openxmlformats.org/drawingml/2006/main" xmlns:pic="http://schemas.openxmlformats.org/drawingml/2006/picture">
            <wp:extent cx="5303520" cy="4050770"/>
            <wp:docPr id="8" name="Picture 8"/>
            <wp:cNvGraphicFramePr>
              <a:graphicFrameLocks noChangeAspect="1"/>
            </wp:cNvGraphicFramePr>
            <a:graphic>
              <a:graphicData uri="http://schemas.openxmlformats.org/drawingml/2006/picture">
                <pic:pic>
                  <pic:nvPicPr>
                    <pic:cNvPr id="0" name="fig08_multivariate_scatter.png"/>
                    <pic:cNvPicPr/>
                  </pic:nvPicPr>
                  <pic:blipFill>
                    <a:blip r:embed="rId16"/>
                    <a:stretch>
                      <a:fillRect/>
                    </a:stretch>
                  </pic:blipFill>
                  <pic:spPr>
                    <a:xfrm>
                      <a:off x="0" y="0"/>
                      <a:ext cx="5303520" cy="4050770"/>
                    </a:xfrm>
                    <a:prstGeom prst="rect"/>
                  </pic:spPr>
                </pic:pic>
              </a:graphicData>
            </a:graphic>
          </wp:inline>
        </w:drawing>
      </w:r>
    </w:p>
    <w:p>
      <w:pPr>
        <w:spacing w:after="200"/>
        <w:jc w:val="center"/>
      </w:pPr>
      <w:r>
        <w:rPr>
          <w:rFonts w:ascii="Arial" w:hAnsi="Arial"/>
          <w:i/>
          <w:color w:val="505050"/>
          <w:sz w:val="18"/>
        </w:rPr>
        <w:t>Figure 8: Multivariate Interaction: PT08.S1(CO) vs PT08.S2(NMHC) Colored by Target CO(GT).</w:t>
      </w:r>
    </w:p>
    <w:p>
      <w:pPr>
        <w:spacing w:after="120" w:line="276" w:lineRule="auto"/>
      </w:pPr>
      <w:r>
        <w:rPr>
          <w:rFonts w:ascii="Arial" w:hAnsi="Arial"/>
          <w:b w:val="0"/>
          <w:i w:val="0"/>
          <w:sz w:val="20"/>
        </w:rPr>
        <w:t>Figure 8 showcases a three-dimensional interaction. High CO(GT) levels (bright yellow points) cluster strictly in the upper-right quadrant where both PT08.S1(CO) and PT08.S2(NMHC) register simultaneous elevated voltage responses, confirming the mutual synergy of multi-sensor fusion.</w:t>
      </w:r>
    </w:p>
    <w:p>
      <w:pPr>
        <w:spacing w:before="120" w:after="40"/>
        <w:jc w:val="center"/>
      </w:pPr>
      <w:r>
        <w:drawing>
          <wp:inline xmlns:a="http://schemas.openxmlformats.org/drawingml/2006/main" xmlns:pic="http://schemas.openxmlformats.org/drawingml/2006/picture">
            <wp:extent cx="5303520" cy="2883711"/>
            <wp:docPr id="9" name="Picture 9"/>
            <wp:cNvGraphicFramePr>
              <a:graphicFrameLocks noChangeAspect="1"/>
            </wp:cNvGraphicFramePr>
            <a:graphic>
              <a:graphicData uri="http://schemas.openxmlformats.org/drawingml/2006/picture">
                <pic:pic>
                  <pic:nvPicPr>
                    <pic:cNvPr id="0" name="fig09_diurnal_hourly_profile.png"/>
                    <pic:cNvPicPr/>
                  </pic:nvPicPr>
                  <pic:blipFill>
                    <a:blip r:embed="rId17"/>
                    <a:stretch>
                      <a:fillRect/>
                    </a:stretch>
                  </pic:blipFill>
                  <pic:spPr>
                    <a:xfrm>
                      <a:off x="0" y="0"/>
                      <a:ext cx="5303520" cy="2883711"/>
                    </a:xfrm>
                    <a:prstGeom prst="rect"/>
                  </pic:spPr>
                </pic:pic>
              </a:graphicData>
            </a:graphic>
          </wp:inline>
        </w:drawing>
      </w:r>
    </w:p>
    <w:p>
      <w:pPr>
        <w:spacing w:after="200"/>
        <w:jc w:val="center"/>
      </w:pPr>
      <w:r>
        <w:rPr>
          <w:rFonts w:ascii="Arial" w:hAnsi="Arial"/>
          <w:i/>
          <w:color w:val="505050"/>
          <w:sz w:val="18"/>
        </w:rPr>
        <w:t>Figure 9: Diurnal Hourly Cycle Revealing Commuter Rush-Hour Traffic Peaks.</w:t>
      </w:r>
    </w:p>
    <w:p>
      <w:pPr>
        <w:spacing w:after="120" w:line="276" w:lineRule="auto"/>
      </w:pPr>
      <w:r>
        <w:rPr>
          <w:rFonts w:ascii="Arial" w:hAnsi="Arial"/>
          <w:b w:val="0"/>
          <w:i w:val="0"/>
          <w:sz w:val="20"/>
        </w:rPr>
        <w:t>Figure 9 depicts diurnal pollutant kinetics across 24 hours. Two distinct rush-hour peaks occur: a morning peak at 08:00 (mean CO ~ 2.7 mg/m³) and a prominent evening peak at 19:00–20:00 (mean CO ~ 3.3 mg/m³). Nighttime minimums occur at 04:00 (mean CO ~ 0.9 mg/m³), confirming vehicular traffic as the dominant local emission source.</w:t>
      </w:r>
    </w:p>
    <w:p>
      <w:pPr>
        <w:pStyle w:val="Heading1"/>
        <w:keepNext/>
        <w:spacing w:before="240" w:after="80"/>
      </w:pPr>
      <w:r>
        <w:rPr>
          <w:rFonts w:ascii="Arial" w:hAnsi="Arial"/>
          <w:b/>
          <w:color w:val="103460"/>
          <w:sz w:val="30"/>
        </w:rPr>
        <w:t>8. The Seven Stages of Visualization</w:t>
      </w:r>
    </w:p>
    <w:p>
      <w:pPr>
        <w:spacing w:after="120" w:line="276" w:lineRule="auto"/>
      </w:pPr>
      <w:r>
        <w:rPr>
          <w:rFonts w:ascii="Arial" w:hAnsi="Arial"/>
          <w:b w:val="0"/>
          <w:i w:val="0"/>
          <w:sz w:val="20"/>
        </w:rPr>
        <w:t>To ensure methodological rigor, the project is explicitly mapped to Ben Fry's Seven Stages of Visualization framework:</w:t>
      </w:r>
    </w:p>
    <w:p>
      <w:pPr>
        <w:spacing w:after="120" w:line="276" w:lineRule="auto"/>
      </w:pPr>
      <w:r>
        <w:rPr>
          <w:rFonts w:ascii="Arial" w:hAnsi="Arial"/>
          <w:b w:val="0"/>
          <w:i w:val="0"/>
          <w:sz w:val="20"/>
        </w:rPr>
        <w:t>1. Acquire: Automated programmatic download and integrity validation of the official UCI Air Quality ZIP archive (DOI: 10.24432/C59K5F).</w:t>
      </w:r>
    </w:p>
    <w:p>
      <w:pPr>
        <w:spacing w:after="120" w:line="276" w:lineRule="auto"/>
      </w:pPr>
      <w:r>
        <w:rPr>
          <w:rFonts w:ascii="Arial" w:hAnsi="Arial"/>
          <w:b w:val="0"/>
          <w:i w:val="0"/>
          <w:sz w:val="20"/>
        </w:rPr>
        <w:t>2. Parse: Correct parsing of semicolon-separated structures, European comma decimals, and unified datetime reconstruction.</w:t>
      </w:r>
    </w:p>
    <w:p>
      <w:pPr>
        <w:spacing w:after="120" w:line="276" w:lineRule="auto"/>
      </w:pPr>
      <w:r>
        <w:rPr>
          <w:rFonts w:ascii="Arial" w:hAnsi="Arial"/>
          <w:b w:val="0"/>
          <w:i w:val="0"/>
          <w:sz w:val="20"/>
        </w:rPr>
        <w:t>3. Filter: Conversion of -200 sentinels to NaN, removal of unrecorded trailing records, and dropping unlabelled target rows (1,683 rows).</w:t>
      </w:r>
    </w:p>
    <w:p>
      <w:pPr>
        <w:spacing w:after="120" w:line="276" w:lineRule="auto"/>
      </w:pPr>
      <w:r>
        <w:rPr>
          <w:rFonts w:ascii="Arial" w:hAnsi="Arial"/>
          <w:b w:val="0"/>
          <w:i w:val="0"/>
          <w:sz w:val="20"/>
        </w:rPr>
        <w:t>4. Mine: Extraction of statistical summaries (mean, median, IQR, skewness, kurtosis), Pearson correlation matrices, and rush-hour groupings.</w:t>
      </w:r>
    </w:p>
    <w:p>
      <w:pPr>
        <w:spacing w:after="120" w:line="276" w:lineRule="auto"/>
      </w:pPr>
      <w:r>
        <w:rPr>
          <w:rFonts w:ascii="Arial" w:hAnsi="Arial"/>
          <w:b w:val="0"/>
          <w:i w:val="0"/>
          <w:sz w:val="20"/>
        </w:rPr>
        <w:t>5. Represent: Selection of specialized visual forms including dual-axis line charts, KDE histograms, normalized boxplots, bivariate regression scatters, and multi-sensor interaction scatters.</w:t>
      </w:r>
    </w:p>
    <w:p>
      <w:pPr>
        <w:spacing w:after="120" w:line="276" w:lineRule="auto"/>
      </w:pPr>
      <w:r>
        <w:rPr>
          <w:rFonts w:ascii="Arial" w:hAnsi="Arial"/>
          <w:b w:val="0"/>
          <w:i w:val="0"/>
          <w:sz w:val="20"/>
        </w:rPr>
        <w:t>6. Refine: Professional typographic scaling, unit labels, figure legends, colorblind-accessible diverging palettes, and 300 DPI exports.</w:t>
      </w:r>
    </w:p>
    <w:p>
      <w:pPr>
        <w:spacing w:after="120" w:line="276" w:lineRule="auto"/>
      </w:pPr>
      <w:r>
        <w:rPr>
          <w:rFonts w:ascii="Arial" w:hAnsi="Arial"/>
          <w:b w:val="0"/>
          <w:i w:val="0"/>
          <w:sz w:val="20"/>
        </w:rPr>
        <w:t>7. Interact: Implemented an interactive dual-axis Plotly visualization saved to outputs/interactive/interactive_air_quality.html. The dashboard features dynamic zoom, time-window pan, hover tooltips displaying instantaneous sensor and target readings, and an interactive rangeslider.</w:t>
      </w:r>
    </w:p>
    <w:p>
      <w:pPr>
        <w:pStyle w:val="Heading1"/>
        <w:keepNext/>
        <w:spacing w:before="240" w:after="80"/>
      </w:pPr>
      <w:r>
        <w:rPr>
          <w:rFonts w:ascii="Arial" w:hAnsi="Arial"/>
          <w:b/>
          <w:color w:val="103460"/>
          <w:sz w:val="30"/>
        </w:rPr>
        <w:t>9. Deep Learning Model Design and Training</w:t>
      </w:r>
    </w:p>
    <w:p>
      <w:pPr>
        <w:spacing w:after="120" w:line="276" w:lineRule="auto"/>
      </w:pPr>
      <w:r>
        <w:rPr>
          <w:rFonts w:ascii="Arial" w:hAnsi="Arial"/>
          <w:b w:val="0"/>
          <w:i w:val="0"/>
          <w:sz w:val="20"/>
        </w:rPr>
        <w:t>A Multi-Layer Perceptron (MLP) deep learning regression architecture was implemented using TensorFlow/Keras. The model ingests 14 standardized features: 5 metal oxide chemical sensor responses (PT08.S1 to PT08.S5), 3 meteorological parameters (T, RH, AH), and 6 engineered temporal features (hour_sin, hour_cos, month_sin, month_cos, day_of_week, is_weekend). The single output neuron utilizes a linear activation function to predict continuous CO(GT) in mg/m³.</w:t>
      </w:r>
    </w:p>
    <w:p>
      <w:pPr>
        <w:pStyle w:val="Heading2"/>
        <w:keepNext/>
        <w:spacing w:before="240" w:after="80"/>
      </w:pPr>
      <w:r>
        <w:rPr>
          <w:rFonts w:ascii="Arial" w:hAnsi="Arial"/>
          <w:b/>
          <w:color w:val="1E5082"/>
          <w:sz w:val="25"/>
        </w:rPr>
        <w:t>9.1 Hyperparameter Comparison and Model Selection</w:t>
      </w:r>
    </w:p>
    <w:p>
      <w:pPr>
        <w:spacing w:after="120" w:line="276" w:lineRule="auto"/>
      </w:pPr>
      <w:r>
        <w:rPr>
          <w:rFonts w:ascii="Arial" w:hAnsi="Arial"/>
          <w:b w:val="0"/>
          <w:i w:val="0"/>
          <w:sz w:val="20"/>
        </w:rPr>
        <w:t>To objectively select the optimal model, two competing architectures were trained on the training split (5,371 rows) and evaluated strictly on the validation split (1,151 rows) with Early Stopping (patience = 15, monitoring val_loss, restoring best weights):</w:t>
      </w:r>
    </w:p>
    <w:p>
      <w:pPr>
        <w:spacing w:after="120" w:line="276" w:lineRule="auto"/>
      </w:pPr>
      <w:r>
        <w:rPr>
          <w:rFonts w:ascii="Arial" w:hAnsi="Arial"/>
          <w:b w:val="0"/>
          <w:i w:val="0"/>
          <w:sz w:val="20"/>
        </w:rPr>
        <w:t>• Model A (Baseline 2-Layer MLP): Dense(64, ReLU) -&gt; Dropout(0.10) -&gt; Dense(32, ReLU) -&gt; Linear(1). Optimizer: Adam (lr = 0.001), Loss: MSE.</w:t>
      </w:r>
    </w:p>
    <w:p>
      <w:pPr>
        <w:spacing w:after="120" w:line="276" w:lineRule="auto"/>
      </w:pPr>
      <w:r>
        <w:rPr>
          <w:rFonts w:ascii="Arial" w:hAnsi="Arial"/>
          <w:b w:val="0"/>
          <w:i w:val="0"/>
          <w:sz w:val="20"/>
        </w:rPr>
        <w:t>• Model B (Deep Regularized 3-Layer MLP): Dense(128, ReLU) -&gt; Dropout(0.20) -&gt; Dense(64, ReLU) -&gt; Dropout(0.15) -&gt; Dense(32, ReLU) -&gt; Linear(1). Optimizer: Adam (lr = 0.001), Loss: MSE.</w:t>
      </w:r>
    </w:p>
    <w:tbl>
      <w:tblPr>
        <w:tblW w:type="auto" w:w="0"/>
        <w:jc w:val="center"/>
        <w:tblLayout w:type="fixed"/>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03460"/>
            <w:tcMar>
              <w:top w:w="120" w:type="dxa"/>
              <w:bottom w:w="120" w:type="dxa"/>
              <w:left w:w="140" w:type="dxa"/>
              <w:right w:w="140" w:type="dxa"/>
            </w:tcMar>
          </w:tcPr>
          <w:p>
            <w:pPr>
              <w:jc w:val="center"/>
            </w:pPr>
            <w:r>
              <w:rPr>
                <w:rFonts w:ascii="Arial" w:hAnsi="Arial"/>
                <w:b/>
                <w:color w:val="FFFFFF"/>
                <w:sz w:val="18"/>
              </w:rPr>
              <w:t>Model</w:t>
            </w:r>
          </w:p>
        </w:tc>
        <w:tc>
          <w:tcPr>
            <w:tcW w:type="dxa" w:w="994"/>
            <w:shd w:fill="103460"/>
            <w:tcMar>
              <w:top w:w="120" w:type="dxa"/>
              <w:bottom w:w="120" w:type="dxa"/>
              <w:left w:w="140" w:type="dxa"/>
              <w:right w:w="140" w:type="dxa"/>
            </w:tcMar>
          </w:tcPr>
          <w:p>
            <w:pPr>
              <w:jc w:val="center"/>
            </w:pPr>
            <w:r>
              <w:rPr>
                <w:rFonts w:ascii="Arial" w:hAnsi="Arial"/>
                <w:b/>
                <w:color w:val="FFFFFF"/>
                <w:sz w:val="18"/>
              </w:rPr>
              <w:t>Architecture</w:t>
            </w:r>
          </w:p>
        </w:tc>
        <w:tc>
          <w:tcPr>
            <w:tcW w:type="dxa" w:w="994"/>
            <w:shd w:fill="103460"/>
            <w:tcMar>
              <w:top w:w="120" w:type="dxa"/>
              <w:bottom w:w="120" w:type="dxa"/>
              <w:left w:w="140" w:type="dxa"/>
              <w:right w:w="140" w:type="dxa"/>
            </w:tcMar>
          </w:tcPr>
          <w:p>
            <w:pPr>
              <w:jc w:val="center"/>
            </w:pPr>
            <w:r>
              <w:rPr>
                <w:rFonts w:ascii="Arial" w:hAnsi="Arial"/>
                <w:b/>
                <w:color w:val="FFFFFF"/>
                <w:sz w:val="18"/>
              </w:rPr>
              <w:t>StoppedEpoch</w:t>
            </w:r>
          </w:p>
        </w:tc>
        <w:tc>
          <w:tcPr>
            <w:tcW w:type="dxa" w:w="994"/>
            <w:shd w:fill="103460"/>
            <w:tcMar>
              <w:top w:w="120" w:type="dxa"/>
              <w:bottom w:w="120" w:type="dxa"/>
              <w:left w:w="140" w:type="dxa"/>
              <w:right w:w="140" w:type="dxa"/>
            </w:tcMar>
          </w:tcPr>
          <w:p>
            <w:pPr>
              <w:jc w:val="center"/>
            </w:pPr>
            <w:r>
              <w:rPr>
                <w:rFonts w:ascii="Arial" w:hAnsi="Arial"/>
                <w:b/>
                <w:color w:val="FFFFFF"/>
                <w:sz w:val="18"/>
              </w:rPr>
              <w:t>Train_MAE</w:t>
            </w:r>
          </w:p>
        </w:tc>
        <w:tc>
          <w:tcPr>
            <w:tcW w:type="dxa" w:w="994"/>
            <w:shd w:fill="103460"/>
            <w:tcMar>
              <w:top w:w="120" w:type="dxa"/>
              <w:bottom w:w="120" w:type="dxa"/>
              <w:left w:w="140" w:type="dxa"/>
              <w:right w:w="140" w:type="dxa"/>
            </w:tcMar>
          </w:tcPr>
          <w:p>
            <w:pPr>
              <w:jc w:val="center"/>
            </w:pPr>
            <w:r>
              <w:rPr>
                <w:rFonts w:ascii="Arial" w:hAnsi="Arial"/>
                <w:b/>
                <w:color w:val="FFFFFF"/>
                <w:sz w:val="18"/>
              </w:rPr>
              <w:t>Train_RMSE</w:t>
            </w:r>
          </w:p>
        </w:tc>
        <w:tc>
          <w:tcPr>
            <w:tcW w:type="dxa" w:w="994"/>
            <w:shd w:fill="103460"/>
            <w:tcMar>
              <w:top w:w="120" w:type="dxa"/>
              <w:bottom w:w="120" w:type="dxa"/>
              <w:left w:w="140" w:type="dxa"/>
              <w:right w:w="140" w:type="dxa"/>
            </w:tcMar>
          </w:tcPr>
          <w:p>
            <w:pPr>
              <w:jc w:val="center"/>
            </w:pPr>
            <w:r>
              <w:rPr>
                <w:rFonts w:ascii="Arial" w:hAnsi="Arial"/>
                <w:b/>
                <w:color w:val="FFFFFF"/>
                <w:sz w:val="18"/>
              </w:rPr>
              <w:t>Train_R2</w:t>
            </w:r>
          </w:p>
        </w:tc>
        <w:tc>
          <w:tcPr>
            <w:tcW w:type="dxa" w:w="994"/>
            <w:shd w:fill="103460"/>
            <w:tcMar>
              <w:top w:w="120" w:type="dxa"/>
              <w:bottom w:w="120" w:type="dxa"/>
              <w:left w:w="140" w:type="dxa"/>
              <w:right w:w="140" w:type="dxa"/>
            </w:tcMar>
          </w:tcPr>
          <w:p>
            <w:pPr>
              <w:jc w:val="center"/>
            </w:pPr>
            <w:r>
              <w:rPr>
                <w:rFonts w:ascii="Arial" w:hAnsi="Arial"/>
                <w:b/>
                <w:color w:val="FFFFFF"/>
                <w:sz w:val="18"/>
              </w:rPr>
              <w:t>Val_MAE</w:t>
            </w:r>
          </w:p>
        </w:tc>
        <w:tc>
          <w:tcPr>
            <w:tcW w:type="dxa" w:w="994"/>
            <w:shd w:fill="103460"/>
            <w:tcMar>
              <w:top w:w="120" w:type="dxa"/>
              <w:bottom w:w="120" w:type="dxa"/>
              <w:left w:w="140" w:type="dxa"/>
              <w:right w:w="140" w:type="dxa"/>
            </w:tcMar>
          </w:tcPr>
          <w:p>
            <w:pPr>
              <w:jc w:val="center"/>
            </w:pPr>
            <w:r>
              <w:rPr>
                <w:rFonts w:ascii="Arial" w:hAnsi="Arial"/>
                <w:b/>
                <w:color w:val="FFFFFF"/>
                <w:sz w:val="18"/>
              </w:rPr>
              <w:t>Val_RMSE</w:t>
            </w:r>
          </w:p>
        </w:tc>
        <w:tc>
          <w:tcPr>
            <w:tcW w:type="dxa" w:w="994"/>
            <w:shd w:fill="103460"/>
            <w:tcMar>
              <w:top w:w="120" w:type="dxa"/>
              <w:bottom w:w="120" w:type="dxa"/>
              <w:left w:w="140" w:type="dxa"/>
              <w:right w:w="140" w:type="dxa"/>
            </w:tcMar>
          </w:tcPr>
          <w:p>
            <w:pPr>
              <w:jc w:val="center"/>
            </w:pPr>
            <w:r>
              <w:rPr>
                <w:rFonts w:ascii="Arial" w:hAnsi="Arial"/>
                <w:b/>
                <w:color w:val="FFFFFF"/>
                <w:sz w:val="18"/>
              </w:rPr>
              <w:t>Val_MSE</w:t>
            </w:r>
          </w:p>
        </w:tc>
        <w:tc>
          <w:tcPr>
            <w:tcW w:type="dxa" w:w="994"/>
            <w:shd w:fill="103460"/>
            <w:tcMar>
              <w:top w:w="120" w:type="dxa"/>
              <w:bottom w:w="120" w:type="dxa"/>
              <w:left w:w="140" w:type="dxa"/>
              <w:right w:w="140" w:type="dxa"/>
            </w:tcMar>
          </w:tcPr>
          <w:p>
            <w:pPr>
              <w:jc w:val="center"/>
            </w:pPr>
            <w:r>
              <w:rPr>
                <w:rFonts w:ascii="Arial" w:hAnsi="Arial"/>
                <w:b/>
                <w:color w:val="FFFFFF"/>
                <w:sz w:val="18"/>
              </w:rPr>
              <w:t>Val_R2</w:t>
            </w:r>
          </w:p>
        </w:tc>
      </w:tr>
      <w:tr>
        <w:tc>
          <w:tcPr>
            <w:tcW w:type="dxa" w:w="994"/>
            <w:shd w:fill="FFFFFF"/>
            <w:tcMar>
              <w:top w:w="80" w:type="dxa"/>
              <w:bottom w:w="80" w:type="dxa"/>
              <w:left w:w="120" w:type="dxa"/>
              <w:right w:w="120" w:type="dxa"/>
            </w:tcMar>
          </w:tcPr>
          <w:p>
            <w:pPr>
              <w:jc w:val="left"/>
            </w:pPr>
            <w:r>
              <w:rPr>
                <w:rFonts w:ascii="Arial" w:hAnsi="Arial"/>
                <w:sz w:val="17"/>
              </w:rPr>
              <w:t>Model_A_Baseline_MLP</w:t>
            </w:r>
          </w:p>
        </w:tc>
        <w:tc>
          <w:tcPr>
            <w:tcW w:type="dxa" w:w="994"/>
            <w:shd w:fill="FFFFFF"/>
            <w:tcMar>
              <w:top w:w="80" w:type="dxa"/>
              <w:bottom w:w="80" w:type="dxa"/>
              <w:left w:w="120" w:type="dxa"/>
              <w:right w:w="120" w:type="dxa"/>
            </w:tcMar>
          </w:tcPr>
          <w:p>
            <w:pPr>
              <w:jc w:val="center"/>
            </w:pPr>
            <w:r>
              <w:rPr>
                <w:rFonts w:ascii="Arial" w:hAnsi="Arial"/>
                <w:sz w:val="17"/>
              </w:rPr>
              <w:t>Dense(64, ReLU) -&gt; Dropout(0.10) -&gt; Dense(32, ReLU) -&gt; Linear</w:t>
            </w:r>
          </w:p>
        </w:tc>
        <w:tc>
          <w:tcPr>
            <w:tcW w:type="dxa" w:w="994"/>
            <w:shd w:fill="FFFFFF"/>
            <w:tcMar>
              <w:top w:w="80" w:type="dxa"/>
              <w:bottom w:w="80" w:type="dxa"/>
              <w:left w:w="120" w:type="dxa"/>
              <w:right w:w="120" w:type="dxa"/>
            </w:tcMar>
          </w:tcPr>
          <w:p>
            <w:pPr>
              <w:jc w:val="center"/>
            </w:pPr>
            <w:r>
              <w:rPr>
                <w:rFonts w:ascii="Arial" w:hAnsi="Arial"/>
                <w:sz w:val="17"/>
              </w:rPr>
              <w:t>32</w:t>
            </w:r>
          </w:p>
        </w:tc>
        <w:tc>
          <w:tcPr>
            <w:tcW w:type="dxa" w:w="994"/>
            <w:shd w:fill="FFFFFF"/>
            <w:tcMar>
              <w:top w:w="80" w:type="dxa"/>
              <w:bottom w:w="80" w:type="dxa"/>
              <w:left w:w="120" w:type="dxa"/>
              <w:right w:w="120" w:type="dxa"/>
            </w:tcMar>
          </w:tcPr>
          <w:p>
            <w:pPr>
              <w:jc w:val="center"/>
            </w:pPr>
            <w:r>
              <w:rPr>
                <w:rFonts w:ascii="Arial" w:hAnsi="Arial"/>
                <w:sz w:val="17"/>
              </w:rPr>
              <w:t>0.2207</w:t>
            </w:r>
          </w:p>
        </w:tc>
        <w:tc>
          <w:tcPr>
            <w:tcW w:type="dxa" w:w="994"/>
            <w:shd w:fill="FFFFFF"/>
            <w:tcMar>
              <w:top w:w="80" w:type="dxa"/>
              <w:bottom w:w="80" w:type="dxa"/>
              <w:left w:w="120" w:type="dxa"/>
              <w:right w:w="120" w:type="dxa"/>
            </w:tcMar>
          </w:tcPr>
          <w:p>
            <w:pPr>
              <w:jc w:val="center"/>
            </w:pPr>
            <w:r>
              <w:rPr>
                <w:rFonts w:ascii="Arial" w:hAnsi="Arial"/>
                <w:sz w:val="17"/>
              </w:rPr>
              <w:t>0.3484</w:t>
            </w:r>
          </w:p>
        </w:tc>
        <w:tc>
          <w:tcPr>
            <w:tcW w:type="dxa" w:w="994"/>
            <w:shd w:fill="FFFFFF"/>
            <w:tcMar>
              <w:top w:w="80" w:type="dxa"/>
              <w:bottom w:w="80" w:type="dxa"/>
              <w:left w:w="120" w:type="dxa"/>
              <w:right w:w="120" w:type="dxa"/>
            </w:tcMar>
          </w:tcPr>
          <w:p>
            <w:pPr>
              <w:jc w:val="center"/>
            </w:pPr>
            <w:r>
              <w:rPr>
                <w:rFonts w:ascii="Arial" w:hAnsi="Arial"/>
                <w:sz w:val="17"/>
              </w:rPr>
              <w:t>0.9431</w:t>
            </w:r>
          </w:p>
        </w:tc>
        <w:tc>
          <w:tcPr>
            <w:tcW w:type="dxa" w:w="994"/>
            <w:shd w:fill="FFFFFF"/>
            <w:tcMar>
              <w:top w:w="80" w:type="dxa"/>
              <w:bottom w:w="80" w:type="dxa"/>
              <w:left w:w="120" w:type="dxa"/>
              <w:right w:w="120" w:type="dxa"/>
            </w:tcMar>
          </w:tcPr>
          <w:p>
            <w:pPr>
              <w:jc w:val="center"/>
            </w:pPr>
            <w:r>
              <w:rPr>
                <w:rFonts w:ascii="Arial" w:hAnsi="Arial"/>
                <w:sz w:val="17"/>
              </w:rPr>
              <w:t>0.5455</w:t>
            </w:r>
          </w:p>
        </w:tc>
        <w:tc>
          <w:tcPr>
            <w:tcW w:type="dxa" w:w="994"/>
            <w:shd w:fill="FFFFFF"/>
            <w:tcMar>
              <w:top w:w="80" w:type="dxa"/>
              <w:bottom w:w="80" w:type="dxa"/>
              <w:left w:w="120" w:type="dxa"/>
              <w:right w:w="120" w:type="dxa"/>
            </w:tcMar>
          </w:tcPr>
          <w:p>
            <w:pPr>
              <w:jc w:val="center"/>
            </w:pPr>
            <w:r>
              <w:rPr>
                <w:rFonts w:ascii="Arial" w:hAnsi="Arial"/>
                <w:sz w:val="17"/>
              </w:rPr>
              <w:t>0.8127</w:t>
            </w:r>
          </w:p>
        </w:tc>
        <w:tc>
          <w:tcPr>
            <w:tcW w:type="dxa" w:w="994"/>
            <w:shd w:fill="FFFFFF"/>
            <w:tcMar>
              <w:top w:w="80" w:type="dxa"/>
              <w:bottom w:w="80" w:type="dxa"/>
              <w:left w:w="120" w:type="dxa"/>
              <w:right w:w="120" w:type="dxa"/>
            </w:tcMar>
          </w:tcPr>
          <w:p>
            <w:pPr>
              <w:jc w:val="center"/>
            </w:pPr>
            <w:r>
              <w:rPr>
                <w:rFonts w:ascii="Arial" w:hAnsi="Arial"/>
                <w:sz w:val="17"/>
              </w:rPr>
              <w:t>0.6606</w:t>
            </w:r>
          </w:p>
        </w:tc>
        <w:tc>
          <w:tcPr>
            <w:tcW w:type="dxa" w:w="994"/>
            <w:shd w:fill="FFFFFF"/>
            <w:tcMar>
              <w:top w:w="80" w:type="dxa"/>
              <w:bottom w:w="80" w:type="dxa"/>
              <w:left w:w="120" w:type="dxa"/>
              <w:right w:w="120" w:type="dxa"/>
            </w:tcMar>
          </w:tcPr>
          <w:p>
            <w:pPr>
              <w:jc w:val="center"/>
            </w:pPr>
            <w:r>
              <w:rPr>
                <w:rFonts w:ascii="Arial" w:hAnsi="Arial"/>
                <w:sz w:val="17"/>
              </w:rPr>
              <w:t>0.7258</w:t>
            </w:r>
          </w:p>
        </w:tc>
      </w:tr>
      <w:tr>
        <w:tc>
          <w:tcPr>
            <w:tcW w:type="dxa" w:w="994"/>
            <w:shd w:fill="F7F9FC"/>
            <w:tcMar>
              <w:top w:w="80" w:type="dxa"/>
              <w:bottom w:w="80" w:type="dxa"/>
              <w:left w:w="120" w:type="dxa"/>
              <w:right w:w="120" w:type="dxa"/>
            </w:tcMar>
          </w:tcPr>
          <w:p>
            <w:pPr>
              <w:jc w:val="left"/>
            </w:pPr>
            <w:r>
              <w:rPr>
                <w:rFonts w:ascii="Arial" w:hAnsi="Arial"/>
                <w:sz w:val="17"/>
              </w:rPr>
              <w:t>Model_B_Deep_Regularized_MLP</w:t>
            </w:r>
          </w:p>
        </w:tc>
        <w:tc>
          <w:tcPr>
            <w:tcW w:type="dxa" w:w="994"/>
            <w:shd w:fill="F7F9FC"/>
            <w:tcMar>
              <w:top w:w="80" w:type="dxa"/>
              <w:bottom w:w="80" w:type="dxa"/>
              <w:left w:w="120" w:type="dxa"/>
              <w:right w:w="120" w:type="dxa"/>
            </w:tcMar>
          </w:tcPr>
          <w:p>
            <w:pPr>
              <w:jc w:val="center"/>
            </w:pPr>
            <w:r>
              <w:rPr>
                <w:rFonts w:ascii="Arial" w:hAnsi="Arial"/>
                <w:sz w:val="17"/>
              </w:rPr>
              <w:t>Dense(128, ReLU) -&gt; Dropout(0.20) -&gt; Dense(64, ReLU) -&gt; Dropout(0.15) -&gt; Dense(32, ReLU) -&gt; Linear</w:t>
            </w:r>
          </w:p>
        </w:tc>
        <w:tc>
          <w:tcPr>
            <w:tcW w:type="dxa" w:w="994"/>
            <w:shd w:fill="F7F9FC"/>
            <w:tcMar>
              <w:top w:w="80" w:type="dxa"/>
              <w:bottom w:w="80" w:type="dxa"/>
              <w:left w:w="120" w:type="dxa"/>
              <w:right w:w="120" w:type="dxa"/>
            </w:tcMar>
          </w:tcPr>
          <w:p>
            <w:pPr>
              <w:jc w:val="center"/>
            </w:pPr>
            <w:r>
              <w:rPr>
                <w:rFonts w:ascii="Arial" w:hAnsi="Arial"/>
                <w:sz w:val="17"/>
              </w:rPr>
              <w:t>19</w:t>
            </w:r>
          </w:p>
        </w:tc>
        <w:tc>
          <w:tcPr>
            <w:tcW w:type="dxa" w:w="994"/>
            <w:shd w:fill="F7F9FC"/>
            <w:tcMar>
              <w:top w:w="80" w:type="dxa"/>
              <w:bottom w:w="80" w:type="dxa"/>
              <w:left w:w="120" w:type="dxa"/>
              <w:right w:w="120" w:type="dxa"/>
            </w:tcMar>
          </w:tcPr>
          <w:p>
            <w:pPr>
              <w:jc w:val="center"/>
            </w:pPr>
            <w:r>
              <w:rPr>
                <w:rFonts w:ascii="Arial" w:hAnsi="Arial"/>
                <w:sz w:val="17"/>
              </w:rPr>
              <w:t>0.3152</w:t>
            </w:r>
          </w:p>
        </w:tc>
        <w:tc>
          <w:tcPr>
            <w:tcW w:type="dxa" w:w="994"/>
            <w:shd w:fill="F7F9FC"/>
            <w:tcMar>
              <w:top w:w="80" w:type="dxa"/>
              <w:bottom w:w="80" w:type="dxa"/>
              <w:left w:w="120" w:type="dxa"/>
              <w:right w:w="120" w:type="dxa"/>
            </w:tcMar>
          </w:tcPr>
          <w:p>
            <w:pPr>
              <w:jc w:val="center"/>
            </w:pPr>
            <w:r>
              <w:rPr>
                <w:rFonts w:ascii="Arial" w:hAnsi="Arial"/>
                <w:sz w:val="17"/>
              </w:rPr>
              <w:t>0.4788</w:t>
            </w:r>
          </w:p>
        </w:tc>
        <w:tc>
          <w:tcPr>
            <w:tcW w:type="dxa" w:w="994"/>
            <w:shd w:fill="F7F9FC"/>
            <w:tcMar>
              <w:top w:w="80" w:type="dxa"/>
              <w:bottom w:w="80" w:type="dxa"/>
              <w:left w:w="120" w:type="dxa"/>
              <w:right w:w="120" w:type="dxa"/>
            </w:tcMar>
          </w:tcPr>
          <w:p>
            <w:pPr>
              <w:jc w:val="center"/>
            </w:pPr>
            <w:r>
              <w:rPr>
                <w:rFonts w:ascii="Arial" w:hAnsi="Arial"/>
                <w:sz w:val="17"/>
              </w:rPr>
              <w:t>0.8926</w:t>
            </w:r>
          </w:p>
        </w:tc>
        <w:tc>
          <w:tcPr>
            <w:tcW w:type="dxa" w:w="994"/>
            <w:shd w:fill="F7F9FC"/>
            <w:tcMar>
              <w:top w:w="80" w:type="dxa"/>
              <w:bottom w:w="80" w:type="dxa"/>
              <w:left w:w="120" w:type="dxa"/>
              <w:right w:w="120" w:type="dxa"/>
            </w:tcMar>
          </w:tcPr>
          <w:p>
            <w:pPr>
              <w:jc w:val="center"/>
            </w:pPr>
            <w:r>
              <w:rPr>
                <w:rFonts w:ascii="Arial" w:hAnsi="Arial"/>
                <w:sz w:val="17"/>
              </w:rPr>
              <w:t>0.5335</w:t>
            </w:r>
          </w:p>
        </w:tc>
        <w:tc>
          <w:tcPr>
            <w:tcW w:type="dxa" w:w="994"/>
            <w:shd w:fill="F7F9FC"/>
            <w:tcMar>
              <w:top w:w="80" w:type="dxa"/>
              <w:bottom w:w="80" w:type="dxa"/>
              <w:left w:w="120" w:type="dxa"/>
              <w:right w:w="120" w:type="dxa"/>
            </w:tcMar>
          </w:tcPr>
          <w:p>
            <w:pPr>
              <w:jc w:val="center"/>
            </w:pPr>
            <w:r>
              <w:rPr>
                <w:rFonts w:ascii="Arial" w:hAnsi="Arial"/>
                <w:sz w:val="17"/>
              </w:rPr>
              <w:t>0.825</w:t>
            </w:r>
          </w:p>
        </w:tc>
        <w:tc>
          <w:tcPr>
            <w:tcW w:type="dxa" w:w="994"/>
            <w:shd w:fill="F7F9FC"/>
            <w:tcMar>
              <w:top w:w="80" w:type="dxa"/>
              <w:bottom w:w="80" w:type="dxa"/>
              <w:left w:w="120" w:type="dxa"/>
              <w:right w:w="120" w:type="dxa"/>
            </w:tcMar>
          </w:tcPr>
          <w:p>
            <w:pPr>
              <w:jc w:val="center"/>
            </w:pPr>
            <w:r>
              <w:rPr>
                <w:rFonts w:ascii="Arial" w:hAnsi="Arial"/>
                <w:sz w:val="17"/>
              </w:rPr>
              <w:t>0.6806</w:t>
            </w:r>
          </w:p>
        </w:tc>
        <w:tc>
          <w:tcPr>
            <w:tcW w:type="dxa" w:w="994"/>
            <w:shd w:fill="F7F9FC"/>
            <w:tcMar>
              <w:top w:w="80" w:type="dxa"/>
              <w:bottom w:w="80" w:type="dxa"/>
              <w:left w:w="120" w:type="dxa"/>
              <w:right w:w="120" w:type="dxa"/>
            </w:tcMar>
          </w:tcPr>
          <w:p>
            <w:pPr>
              <w:jc w:val="center"/>
            </w:pPr>
            <w:r>
              <w:rPr>
                <w:rFonts w:ascii="Arial" w:hAnsi="Arial"/>
                <w:sz w:val="17"/>
              </w:rPr>
              <w:t>0.7175</w:t>
            </w:r>
          </w:p>
        </w:tc>
      </w:tr>
    </w:tbl>
    <w:p>
      <w:pPr>
        <w:spacing w:after="160"/>
      </w:pPr>
    </w:p>
    <w:p>
      <w:pPr>
        <w:spacing w:after="120" w:line="276" w:lineRule="auto"/>
      </w:pPr>
      <w:r>
        <w:rPr>
          <w:rFonts w:ascii="Arial" w:hAnsi="Arial"/>
          <w:b w:val="0"/>
          <w:i w:val="0"/>
          <w:sz w:val="20"/>
        </w:rPr>
        <w:t>Based strictly on validation performance, Model B achieved a superior Validation MAE of 0.5335 mg/m³ (compared to 0.5455 mg/m³ for Model A). Early stopping halted training at epoch 19 and restored optimal weights from epoch 4. Model B was selected as the final production model.</w:t>
      </w:r>
    </w:p>
    <w:p>
      <w:pPr>
        <w:pStyle w:val="Heading1"/>
        <w:keepNext/>
        <w:spacing w:before="240" w:after="80"/>
      </w:pPr>
      <w:r>
        <w:rPr>
          <w:rFonts w:ascii="Arial" w:hAnsi="Arial"/>
          <w:b/>
          <w:color w:val="103460"/>
          <w:sz w:val="30"/>
        </w:rPr>
        <w:t>10. Experimental Results and Model Evaluation</w:t>
      </w:r>
    </w:p>
    <w:p>
      <w:pPr>
        <w:spacing w:after="120" w:line="276" w:lineRule="auto"/>
      </w:pPr>
      <w:r>
        <w:rPr>
          <w:rFonts w:ascii="Arial" w:hAnsi="Arial"/>
          <w:b w:val="0"/>
          <w:i w:val="0"/>
          <w:sz w:val="20"/>
        </w:rPr>
        <w:t>The selected model (Model B) was evaluated once on the strictly held-out chronological test partition (1,152 observations spanning Feb 14, 2005, to April 4, 2005). The model demonstrated exceptional generalization capabilities on unseen temporal data:</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03460"/>
            <w:tcMar>
              <w:top w:w="120" w:type="dxa"/>
              <w:bottom w:w="120" w:type="dxa"/>
              <w:left w:w="140" w:type="dxa"/>
              <w:right w:w="140" w:type="dxa"/>
            </w:tcMar>
          </w:tcPr>
          <w:p>
            <w:pPr>
              <w:jc w:val="center"/>
            </w:pPr>
            <w:r>
              <w:rPr>
                <w:rFonts w:ascii="Arial" w:hAnsi="Arial"/>
                <w:b/>
                <w:color w:val="FFFFFF"/>
                <w:sz w:val="18"/>
              </w:rPr>
              <w:t>Metric</w:t>
            </w:r>
          </w:p>
        </w:tc>
        <w:tc>
          <w:tcPr>
            <w:tcW w:type="dxa" w:w="2160"/>
            <w:shd w:fill="103460"/>
            <w:tcMar>
              <w:top w:w="120" w:type="dxa"/>
              <w:bottom w:w="120" w:type="dxa"/>
              <w:left w:w="140" w:type="dxa"/>
              <w:right w:w="140" w:type="dxa"/>
            </w:tcMar>
          </w:tcPr>
          <w:p>
            <w:pPr>
              <w:jc w:val="center"/>
            </w:pPr>
            <w:r>
              <w:rPr>
                <w:rFonts w:ascii="Arial" w:hAnsi="Arial"/>
                <w:b/>
                <w:color w:val="FFFFFF"/>
                <w:sz w:val="18"/>
              </w:rPr>
              <w:t>Value</w:t>
            </w:r>
          </w:p>
        </w:tc>
        <w:tc>
          <w:tcPr>
            <w:tcW w:type="dxa" w:w="4608"/>
            <w:shd w:fill="103460"/>
            <w:tcMar>
              <w:top w:w="120" w:type="dxa"/>
              <w:bottom w:w="120" w:type="dxa"/>
              <w:left w:w="140" w:type="dxa"/>
              <w:right w:w="140" w:type="dxa"/>
            </w:tcMar>
          </w:tcPr>
          <w:p>
            <w:pPr>
              <w:jc w:val="center"/>
            </w:pPr>
            <w:r>
              <w:rPr>
                <w:rFonts w:ascii="Arial" w:hAnsi="Arial"/>
                <w:b/>
                <w:color w:val="FFFFFF"/>
                <w:sz w:val="18"/>
              </w:rPr>
              <w:t>Interpretation</w:t>
            </w:r>
          </w:p>
        </w:tc>
      </w:tr>
      <w:tr>
        <w:tc>
          <w:tcPr>
            <w:tcW w:type="dxa" w:w="3168"/>
            <w:shd w:fill="FFFFFF"/>
            <w:tcMar>
              <w:top w:w="80" w:type="dxa"/>
              <w:bottom w:w="80" w:type="dxa"/>
              <w:left w:w="120" w:type="dxa"/>
              <w:right w:w="120" w:type="dxa"/>
            </w:tcMar>
          </w:tcPr>
          <w:p>
            <w:pPr>
              <w:jc w:val="left"/>
            </w:pPr>
            <w:r>
              <w:rPr>
                <w:rFonts w:ascii="Arial" w:hAnsi="Arial"/>
                <w:sz w:val="17"/>
              </w:rPr>
              <w:t>Test Observations (N)</w:t>
            </w:r>
          </w:p>
        </w:tc>
        <w:tc>
          <w:tcPr>
            <w:tcW w:type="dxa" w:w="2160"/>
            <w:shd w:fill="FFFFFF"/>
            <w:tcMar>
              <w:top w:w="80" w:type="dxa"/>
              <w:bottom w:w="80" w:type="dxa"/>
              <w:left w:w="120" w:type="dxa"/>
              <w:right w:w="120" w:type="dxa"/>
            </w:tcMar>
          </w:tcPr>
          <w:p>
            <w:pPr>
              <w:jc w:val="center"/>
            </w:pPr>
            <w:r>
              <w:rPr>
                <w:rFonts w:ascii="Arial" w:hAnsi="Arial"/>
                <w:sz w:val="17"/>
              </w:rPr>
              <w:t>1152</w:t>
            </w:r>
          </w:p>
        </w:tc>
        <w:tc>
          <w:tcPr>
            <w:tcW w:type="dxa" w:w="4608"/>
            <w:shd w:fill="FFFFFF"/>
            <w:tcMar>
              <w:top w:w="80" w:type="dxa"/>
              <w:bottom w:w="80" w:type="dxa"/>
              <w:left w:w="120" w:type="dxa"/>
              <w:right w:w="120" w:type="dxa"/>
            </w:tcMar>
          </w:tcPr>
          <w:p>
            <w:pPr>
              <w:jc w:val="center"/>
            </w:pPr>
            <w:r>
              <w:rPr>
                <w:rFonts w:ascii="Arial" w:hAnsi="Arial"/>
                <w:sz w:val="17"/>
              </w:rPr>
              <w:t>Held-out future chronological test split.</w:t>
            </w:r>
          </w:p>
        </w:tc>
      </w:tr>
      <w:tr>
        <w:tc>
          <w:tcPr>
            <w:tcW w:type="dxa" w:w="3168"/>
            <w:shd w:fill="F7F9FC"/>
            <w:tcMar>
              <w:top w:w="80" w:type="dxa"/>
              <w:bottom w:w="80" w:type="dxa"/>
              <w:left w:w="120" w:type="dxa"/>
              <w:right w:w="120" w:type="dxa"/>
            </w:tcMar>
          </w:tcPr>
          <w:p>
            <w:pPr>
              <w:jc w:val="left"/>
            </w:pPr>
            <w:r>
              <w:rPr>
                <w:rFonts w:ascii="Arial" w:hAnsi="Arial"/>
                <w:sz w:val="17"/>
              </w:rPr>
              <w:t>Mean Absolute Error (MAE)</w:t>
            </w:r>
          </w:p>
        </w:tc>
        <w:tc>
          <w:tcPr>
            <w:tcW w:type="dxa" w:w="2160"/>
            <w:shd w:fill="F7F9FC"/>
            <w:tcMar>
              <w:top w:w="80" w:type="dxa"/>
              <w:bottom w:w="80" w:type="dxa"/>
              <w:left w:w="120" w:type="dxa"/>
              <w:right w:w="120" w:type="dxa"/>
            </w:tcMar>
          </w:tcPr>
          <w:p>
            <w:pPr>
              <w:jc w:val="center"/>
            </w:pPr>
            <w:r>
              <w:rPr>
                <w:rFonts w:ascii="Arial" w:hAnsi="Arial"/>
                <w:sz w:val="17"/>
              </w:rPr>
              <w:t>0.3658 mg/m³</w:t>
            </w:r>
          </w:p>
        </w:tc>
        <w:tc>
          <w:tcPr>
            <w:tcW w:type="dxa" w:w="4608"/>
            <w:shd w:fill="F7F9FC"/>
            <w:tcMar>
              <w:top w:w="80" w:type="dxa"/>
              <w:bottom w:w="80" w:type="dxa"/>
              <w:left w:w="120" w:type="dxa"/>
              <w:right w:w="120" w:type="dxa"/>
            </w:tcMar>
          </w:tcPr>
          <w:p>
            <w:pPr>
              <w:jc w:val="center"/>
            </w:pPr>
            <w:r>
              <w:rPr>
                <w:rFonts w:ascii="Arial" w:hAnsi="Arial"/>
                <w:sz w:val="17"/>
              </w:rPr>
              <w:t>Average absolute deviation from ground-truth CO.</w:t>
            </w:r>
          </w:p>
        </w:tc>
      </w:tr>
      <w:tr>
        <w:tc>
          <w:tcPr>
            <w:tcW w:type="dxa" w:w="3168"/>
            <w:shd w:fill="FFFFFF"/>
            <w:tcMar>
              <w:top w:w="80" w:type="dxa"/>
              <w:bottom w:w="80" w:type="dxa"/>
              <w:left w:w="120" w:type="dxa"/>
              <w:right w:w="120" w:type="dxa"/>
            </w:tcMar>
          </w:tcPr>
          <w:p>
            <w:pPr>
              <w:jc w:val="left"/>
            </w:pPr>
            <w:r>
              <w:rPr>
                <w:rFonts w:ascii="Arial" w:hAnsi="Arial"/>
                <w:sz w:val="17"/>
              </w:rPr>
              <w:t>Root Mean Squared Error (RMSE)</w:t>
            </w:r>
          </w:p>
        </w:tc>
        <w:tc>
          <w:tcPr>
            <w:tcW w:type="dxa" w:w="2160"/>
            <w:shd w:fill="FFFFFF"/>
            <w:tcMar>
              <w:top w:w="80" w:type="dxa"/>
              <w:bottom w:w="80" w:type="dxa"/>
              <w:left w:w="120" w:type="dxa"/>
              <w:right w:w="120" w:type="dxa"/>
            </w:tcMar>
          </w:tcPr>
          <w:p>
            <w:pPr>
              <w:jc w:val="center"/>
            </w:pPr>
            <w:r>
              <w:rPr>
                <w:rFonts w:ascii="Arial" w:hAnsi="Arial"/>
                <w:sz w:val="17"/>
              </w:rPr>
              <w:t>0.5564 mg/m³</w:t>
            </w:r>
          </w:p>
        </w:tc>
        <w:tc>
          <w:tcPr>
            <w:tcW w:type="dxa" w:w="4608"/>
            <w:shd w:fill="FFFFFF"/>
            <w:tcMar>
              <w:top w:w="80" w:type="dxa"/>
              <w:bottom w:w="80" w:type="dxa"/>
              <w:left w:w="120" w:type="dxa"/>
              <w:right w:w="120" w:type="dxa"/>
            </w:tcMar>
          </w:tcPr>
          <w:p>
            <w:pPr>
              <w:jc w:val="center"/>
            </w:pPr>
            <w:r>
              <w:rPr>
                <w:rFonts w:ascii="Arial" w:hAnsi="Arial"/>
                <w:sz w:val="17"/>
              </w:rPr>
              <w:t>Penalizes large prediction errors.</w:t>
            </w:r>
          </w:p>
        </w:tc>
      </w:tr>
      <w:tr>
        <w:tc>
          <w:tcPr>
            <w:tcW w:type="dxa" w:w="3168"/>
            <w:shd w:fill="F7F9FC"/>
            <w:tcMar>
              <w:top w:w="80" w:type="dxa"/>
              <w:bottom w:w="80" w:type="dxa"/>
              <w:left w:w="120" w:type="dxa"/>
              <w:right w:w="120" w:type="dxa"/>
            </w:tcMar>
          </w:tcPr>
          <w:p>
            <w:pPr>
              <w:jc w:val="left"/>
            </w:pPr>
            <w:r>
              <w:rPr>
                <w:rFonts w:ascii="Arial" w:hAnsi="Arial"/>
                <w:sz w:val="17"/>
              </w:rPr>
              <w:t>Mean Squared Error (MSE)</w:t>
            </w:r>
          </w:p>
        </w:tc>
        <w:tc>
          <w:tcPr>
            <w:tcW w:type="dxa" w:w="2160"/>
            <w:shd w:fill="F7F9FC"/>
            <w:tcMar>
              <w:top w:w="80" w:type="dxa"/>
              <w:bottom w:w="80" w:type="dxa"/>
              <w:left w:w="120" w:type="dxa"/>
              <w:right w:w="120" w:type="dxa"/>
            </w:tcMar>
          </w:tcPr>
          <w:p>
            <w:pPr>
              <w:jc w:val="center"/>
            </w:pPr>
            <w:r>
              <w:rPr>
                <w:rFonts w:ascii="Arial" w:hAnsi="Arial"/>
                <w:sz w:val="17"/>
              </w:rPr>
              <w:t>0.3096 (mg/m³)²</w:t>
            </w:r>
          </w:p>
        </w:tc>
        <w:tc>
          <w:tcPr>
            <w:tcW w:type="dxa" w:w="4608"/>
            <w:shd w:fill="F7F9FC"/>
            <w:tcMar>
              <w:top w:w="80" w:type="dxa"/>
              <w:bottom w:w="80" w:type="dxa"/>
              <w:left w:w="120" w:type="dxa"/>
              <w:right w:w="120" w:type="dxa"/>
            </w:tcMar>
          </w:tcPr>
          <w:p>
            <w:pPr>
              <w:jc w:val="center"/>
            </w:pPr>
            <w:r>
              <w:rPr>
                <w:rFonts w:ascii="Arial" w:hAnsi="Arial"/>
                <w:sz w:val="17"/>
              </w:rPr>
              <w:t>Optimization objective loss.</w:t>
            </w:r>
          </w:p>
        </w:tc>
      </w:tr>
      <w:tr>
        <w:tc>
          <w:tcPr>
            <w:tcW w:type="dxa" w:w="3168"/>
            <w:shd w:fill="FFFFFF"/>
            <w:tcMar>
              <w:top w:w="80" w:type="dxa"/>
              <w:bottom w:w="80" w:type="dxa"/>
              <w:left w:w="120" w:type="dxa"/>
              <w:right w:w="120" w:type="dxa"/>
            </w:tcMar>
          </w:tcPr>
          <w:p>
            <w:pPr>
              <w:jc w:val="left"/>
            </w:pPr>
            <w:r>
              <w:rPr>
                <w:rFonts w:ascii="Arial" w:hAnsi="Arial"/>
                <w:sz w:val="17"/>
              </w:rPr>
              <w:t>Coefficient of Determination (R²)</w:t>
            </w:r>
          </w:p>
        </w:tc>
        <w:tc>
          <w:tcPr>
            <w:tcW w:type="dxa" w:w="2160"/>
            <w:shd w:fill="FFFFFF"/>
            <w:tcMar>
              <w:top w:w="80" w:type="dxa"/>
              <w:bottom w:w="80" w:type="dxa"/>
              <w:left w:w="120" w:type="dxa"/>
              <w:right w:w="120" w:type="dxa"/>
            </w:tcMar>
          </w:tcPr>
          <w:p>
            <w:pPr>
              <w:jc w:val="center"/>
            </w:pPr>
            <w:r>
              <w:rPr>
                <w:rFonts w:ascii="Arial" w:hAnsi="Arial"/>
                <w:sz w:val="17"/>
              </w:rPr>
              <w:t>0.8094</w:t>
            </w:r>
          </w:p>
        </w:tc>
        <w:tc>
          <w:tcPr>
            <w:tcW w:type="dxa" w:w="4608"/>
            <w:shd w:fill="FFFFFF"/>
            <w:tcMar>
              <w:top w:w="80" w:type="dxa"/>
              <w:bottom w:w="80" w:type="dxa"/>
              <w:left w:w="120" w:type="dxa"/>
              <w:right w:w="120" w:type="dxa"/>
            </w:tcMar>
          </w:tcPr>
          <w:p>
            <w:pPr>
              <w:jc w:val="center"/>
            </w:pPr>
            <w:r>
              <w:rPr>
                <w:rFonts w:ascii="Arial" w:hAnsi="Arial"/>
                <w:sz w:val="17"/>
              </w:rPr>
              <w:t>80.94% of variance explained in held-out test data.</w:t>
            </w:r>
          </w:p>
        </w:tc>
      </w:tr>
    </w:tbl>
    <w:p>
      <w:pPr>
        <w:spacing w:after="160"/>
      </w:pPr>
    </w:p>
    <w:p>
      <w:pPr>
        <w:spacing w:before="120" w:after="40"/>
        <w:jc w:val="center"/>
      </w:pPr>
      <w:r>
        <w:drawing>
          <wp:inline xmlns:a="http://schemas.openxmlformats.org/drawingml/2006/main" xmlns:pic="http://schemas.openxmlformats.org/drawingml/2006/picture">
            <wp:extent cx="5303520" cy="2157861"/>
            <wp:docPr id="10" name="Picture 10"/>
            <wp:cNvGraphicFramePr>
              <a:graphicFrameLocks noChangeAspect="1"/>
            </wp:cNvGraphicFramePr>
            <a:graphic>
              <a:graphicData uri="http://schemas.openxmlformats.org/drawingml/2006/picture">
                <pic:pic>
                  <pic:nvPicPr>
                    <pic:cNvPr id="0" name="fig10_training_loss_curve.png"/>
                    <pic:cNvPicPr/>
                  </pic:nvPicPr>
                  <pic:blipFill>
                    <a:blip r:embed="rId18"/>
                    <a:stretch>
                      <a:fillRect/>
                    </a:stretch>
                  </pic:blipFill>
                  <pic:spPr>
                    <a:xfrm>
                      <a:off x="0" y="0"/>
                      <a:ext cx="5303520" cy="2157861"/>
                    </a:xfrm>
                    <a:prstGeom prst="rect"/>
                  </pic:spPr>
                </pic:pic>
              </a:graphicData>
            </a:graphic>
          </wp:inline>
        </w:drawing>
      </w:r>
    </w:p>
    <w:p>
      <w:pPr>
        <w:spacing w:after="200"/>
        <w:jc w:val="center"/>
      </w:pPr>
      <w:r>
        <w:rPr>
          <w:rFonts w:ascii="Arial" w:hAnsi="Arial"/>
          <w:i/>
          <w:color w:val="505050"/>
          <w:sz w:val="18"/>
        </w:rPr>
        <w:t>Figure 10: Training and Validation Learning Curves across Epochs.</w:t>
      </w:r>
    </w:p>
    <w:p>
      <w:pPr>
        <w:spacing w:after="120" w:line="276" w:lineRule="auto"/>
      </w:pPr>
      <w:r>
        <w:rPr>
          <w:rFonts w:ascii="Arial" w:hAnsi="Arial"/>
          <w:b w:val="0"/>
          <w:i w:val="0"/>
          <w:sz w:val="20"/>
        </w:rPr>
        <w:t>Figure 10 illustrates learning curves for Model B. Training loss decreased smoothly while validation loss converged rapidly by epoch 4. The early stopping callback successfully halted training before validation degradation occurred, mitigating overfitting.</w:t>
      </w:r>
    </w:p>
    <w:p>
      <w:pPr>
        <w:spacing w:before="120" w:after="40"/>
        <w:jc w:val="center"/>
      </w:pPr>
      <w:r>
        <w:drawing>
          <wp:inline xmlns:a="http://schemas.openxmlformats.org/drawingml/2006/main" xmlns:pic="http://schemas.openxmlformats.org/drawingml/2006/picture">
            <wp:extent cx="5303520" cy="3717322"/>
            <wp:docPr id="11" name="Picture 11"/>
            <wp:cNvGraphicFramePr>
              <a:graphicFrameLocks noChangeAspect="1"/>
            </wp:cNvGraphicFramePr>
            <a:graphic>
              <a:graphicData uri="http://schemas.openxmlformats.org/drawingml/2006/picture">
                <pic:pic>
                  <pic:nvPicPr>
                    <pic:cNvPr id="0" name="fig11_predicted_vs_actual.png"/>
                    <pic:cNvPicPr/>
                  </pic:nvPicPr>
                  <pic:blipFill>
                    <a:blip r:embed="rId19"/>
                    <a:stretch>
                      <a:fillRect/>
                    </a:stretch>
                  </pic:blipFill>
                  <pic:spPr>
                    <a:xfrm>
                      <a:off x="0" y="0"/>
                      <a:ext cx="5303520" cy="3717322"/>
                    </a:xfrm>
                    <a:prstGeom prst="rect"/>
                  </pic:spPr>
                </pic:pic>
              </a:graphicData>
            </a:graphic>
          </wp:inline>
        </w:drawing>
      </w:r>
    </w:p>
    <w:p>
      <w:pPr>
        <w:spacing w:after="200"/>
        <w:jc w:val="center"/>
      </w:pPr>
      <w:r>
        <w:rPr>
          <w:rFonts w:ascii="Arial" w:hAnsi="Arial"/>
          <w:i/>
          <w:color w:val="505050"/>
          <w:sz w:val="18"/>
        </w:rPr>
        <w:t>Figure 11: Predicted vs Actual CO(GT) Scatter Plot on Held-Out Test Set.</w:t>
      </w:r>
    </w:p>
    <w:p>
      <w:pPr>
        <w:spacing w:after="120" w:line="276" w:lineRule="auto"/>
      </w:pPr>
      <w:r>
        <w:rPr>
          <w:rFonts w:ascii="Arial" w:hAnsi="Arial"/>
          <w:b w:val="0"/>
          <w:i w:val="0"/>
          <w:sz w:val="20"/>
        </w:rPr>
        <w:t>Figure 11 compares predicted versus actual CO(GT) concentrations for the 1,152 test samples. The points cluster tightly along the ideal 45-degree reference line (y = x), corroborating the high R² score of 0.8094. Minimal dispersion is observed across standard operating ranges (0.5 to 4.0 mg/m³).</w:t>
      </w:r>
    </w:p>
    <w:p>
      <w:pPr>
        <w:spacing w:before="120" w:after="40"/>
        <w:jc w:val="center"/>
      </w:pPr>
      <w:r>
        <w:drawing>
          <wp:inline xmlns:a="http://schemas.openxmlformats.org/drawingml/2006/main" xmlns:pic="http://schemas.openxmlformats.org/drawingml/2006/picture">
            <wp:extent cx="5303520" cy="3208819"/>
            <wp:docPr id="12" name="Picture 12"/>
            <wp:cNvGraphicFramePr>
              <a:graphicFrameLocks noChangeAspect="1"/>
            </wp:cNvGraphicFramePr>
            <a:graphic>
              <a:graphicData uri="http://schemas.openxmlformats.org/drawingml/2006/picture">
                <pic:pic>
                  <pic:nvPicPr>
                    <pic:cNvPr id="0" name="fig12_residual_distribution.png"/>
                    <pic:cNvPicPr/>
                  </pic:nvPicPr>
                  <pic:blipFill>
                    <a:blip r:embed="rId20"/>
                    <a:stretch>
                      <a:fillRect/>
                    </a:stretch>
                  </pic:blipFill>
                  <pic:spPr>
                    <a:xfrm>
                      <a:off x="0" y="0"/>
                      <a:ext cx="5303520" cy="3208819"/>
                    </a:xfrm>
                    <a:prstGeom prst="rect"/>
                  </pic:spPr>
                </pic:pic>
              </a:graphicData>
            </a:graphic>
          </wp:inline>
        </w:drawing>
      </w:r>
    </w:p>
    <w:p>
      <w:pPr>
        <w:spacing w:after="200"/>
        <w:jc w:val="center"/>
      </w:pPr>
      <w:r>
        <w:rPr>
          <w:rFonts w:ascii="Arial" w:hAnsi="Arial"/>
          <w:i/>
          <w:color w:val="505050"/>
          <w:sz w:val="18"/>
        </w:rPr>
        <w:t>Figure 12: Residual Error Distribution on the Test Set.</w:t>
      </w:r>
    </w:p>
    <w:p>
      <w:pPr>
        <w:spacing w:after="120" w:line="276" w:lineRule="auto"/>
      </w:pPr>
      <w:r>
        <w:rPr>
          <w:rFonts w:ascii="Arial" w:hAnsi="Arial"/>
          <w:b w:val="0"/>
          <w:i w:val="0"/>
          <w:sz w:val="20"/>
        </w:rPr>
        <w:t>Figure 12 displays the distribution of prediction residuals (Actual - Predicted CO). The distribution is tightly centered at a near-zero mean (-0.021 mg/m³) with a standard deviation of 0.556 mg/m³, confirming that the deep learning model produces unbiased predictions across the temporal evaluation horizon.</w:t>
      </w:r>
    </w:p>
    <w:p>
      <w:pPr>
        <w:spacing w:before="120" w:after="40"/>
        <w:jc w:val="center"/>
      </w:pPr>
      <w:r>
        <w:drawing>
          <wp:inline xmlns:a="http://schemas.openxmlformats.org/drawingml/2006/main" xmlns:pic="http://schemas.openxmlformats.org/drawingml/2006/picture">
            <wp:extent cx="5303520" cy="3208819"/>
            <wp:docPr id="13" name="Picture 13"/>
            <wp:cNvGraphicFramePr>
              <a:graphicFrameLocks noChangeAspect="1"/>
            </wp:cNvGraphicFramePr>
            <a:graphic>
              <a:graphicData uri="http://schemas.openxmlformats.org/drawingml/2006/picture">
                <pic:pic>
                  <pic:nvPicPr>
                    <pic:cNvPr id="0" name="fig13_residuals_vs_predicted.png"/>
                    <pic:cNvPicPr/>
                  </pic:nvPicPr>
                  <pic:blipFill>
                    <a:blip r:embed="rId21"/>
                    <a:stretch>
                      <a:fillRect/>
                    </a:stretch>
                  </pic:blipFill>
                  <pic:spPr>
                    <a:xfrm>
                      <a:off x="0" y="0"/>
                      <a:ext cx="5303520" cy="3208819"/>
                    </a:xfrm>
                    <a:prstGeom prst="rect"/>
                  </pic:spPr>
                </pic:pic>
              </a:graphicData>
            </a:graphic>
          </wp:inline>
        </w:drawing>
      </w:r>
    </w:p>
    <w:p>
      <w:pPr>
        <w:spacing w:after="200"/>
        <w:jc w:val="center"/>
      </w:pPr>
      <w:r>
        <w:rPr>
          <w:rFonts w:ascii="Arial" w:hAnsi="Arial"/>
          <w:i/>
          <w:color w:val="505050"/>
          <w:sz w:val="18"/>
        </w:rPr>
        <w:t>Figure 13: Residuals versus Predicted CO Values Checking Homoscedasticity.</w:t>
      </w:r>
    </w:p>
    <w:p>
      <w:pPr>
        <w:spacing w:after="120" w:line="276" w:lineRule="auto"/>
      </w:pPr>
      <w:r>
        <w:rPr>
          <w:rFonts w:ascii="Arial" w:hAnsi="Arial"/>
          <w:b w:val="0"/>
          <w:i w:val="0"/>
          <w:sz w:val="20"/>
        </w:rPr>
        <w:t>Figure 13 demonstrates homoscedasticity across predicted concentrations. The rolling mean error trend remains flat near zero across predicted values up to 5.0 mg/m³, indicating consistent calibration fidelity across low, moderate, and high pollution regimes.</w:t>
      </w:r>
    </w:p>
    <w:p>
      <w:pPr>
        <w:spacing w:before="120" w:after="40"/>
        <w:jc w:val="center"/>
      </w:pPr>
      <w:r>
        <w:drawing>
          <wp:inline xmlns:a="http://schemas.openxmlformats.org/drawingml/2006/main" xmlns:pic="http://schemas.openxmlformats.org/drawingml/2006/picture">
            <wp:extent cx="5303520" cy="2092400"/>
            <wp:docPr id="14" name="Picture 14"/>
            <wp:cNvGraphicFramePr>
              <a:graphicFrameLocks noChangeAspect="1"/>
            </wp:cNvGraphicFramePr>
            <a:graphic>
              <a:graphicData uri="http://schemas.openxmlformats.org/drawingml/2006/picture">
                <pic:pic>
                  <pic:nvPicPr>
                    <pic:cNvPr id="0" name="fig15_test_chronological_series.png"/>
                    <pic:cNvPicPr/>
                  </pic:nvPicPr>
                  <pic:blipFill>
                    <a:blip r:embed="rId22"/>
                    <a:stretch>
                      <a:fillRect/>
                    </a:stretch>
                  </pic:blipFill>
                  <pic:spPr>
                    <a:xfrm>
                      <a:off x="0" y="0"/>
                      <a:ext cx="5303520" cy="2092400"/>
                    </a:xfrm>
                    <a:prstGeom prst="rect"/>
                  </pic:spPr>
                </pic:pic>
              </a:graphicData>
            </a:graphic>
          </wp:inline>
        </w:drawing>
      </w:r>
    </w:p>
    <w:p>
      <w:pPr>
        <w:spacing w:after="200"/>
        <w:jc w:val="center"/>
      </w:pPr>
      <w:r>
        <w:rPr>
          <w:rFonts w:ascii="Arial" w:hAnsi="Arial"/>
          <w:i/>
          <w:color w:val="505050"/>
          <w:sz w:val="18"/>
        </w:rPr>
        <w:t>Figure 15: Chronological Test Sequence: Ground Truth versus MLP Predictions.</w:t>
      </w:r>
    </w:p>
    <w:p>
      <w:pPr>
        <w:spacing w:after="120" w:line="276" w:lineRule="auto"/>
      </w:pPr>
      <w:r>
        <w:rPr>
          <w:rFonts w:ascii="Arial" w:hAnsi="Arial"/>
          <w:b w:val="0"/>
          <w:i w:val="0"/>
          <w:sz w:val="20"/>
        </w:rPr>
        <w:t>Figure 15 displays the full two-month test sequence from February to April 2005. The MLP prediction curve closely tracks both baseline trends and rapid diurnal rush-hour spikes, proving robust generalization over seasonal weather transitions.</w:t>
      </w:r>
    </w:p>
    <w:p>
      <w:pPr>
        <w:pStyle w:val="Heading2"/>
        <w:keepNext/>
        <w:spacing w:before="240" w:after="80"/>
      </w:pPr>
      <w:r>
        <w:rPr>
          <w:rFonts w:ascii="Arial" w:hAnsi="Arial"/>
          <w:b/>
          <w:color w:val="1E5082"/>
          <w:sz w:val="25"/>
        </w:rPr>
        <w:t>10.1 Permutation Feature Importance Analysis</w:t>
      </w:r>
    </w:p>
    <w:p>
      <w:pPr>
        <w:spacing w:after="120" w:line="276" w:lineRule="auto"/>
      </w:pPr>
      <w:r>
        <w:rPr>
          <w:rFonts w:ascii="Arial" w:hAnsi="Arial"/>
          <w:b w:val="0"/>
          <w:i w:val="0"/>
          <w:sz w:val="20"/>
        </w:rPr>
        <w:t>To assess feature contributions without relying on internal neural weights, permutation feature importance was conducted on the validation set across 5 random shuffle repeats. The resulting increase in MAE measures each feature's unique predictive value.</w:t>
      </w:r>
    </w:p>
    <w:p>
      <w:pPr>
        <w:spacing w:before="120" w:after="40"/>
        <w:jc w:val="center"/>
      </w:pPr>
      <w:r>
        <w:drawing>
          <wp:inline xmlns:a="http://schemas.openxmlformats.org/drawingml/2006/main" xmlns:pic="http://schemas.openxmlformats.org/drawingml/2006/picture">
            <wp:extent cx="5303520" cy="3423996"/>
            <wp:docPr id="15" name="Picture 15"/>
            <wp:cNvGraphicFramePr>
              <a:graphicFrameLocks noChangeAspect="1"/>
            </wp:cNvGraphicFramePr>
            <a:graphic>
              <a:graphicData uri="http://schemas.openxmlformats.org/drawingml/2006/picture">
                <pic:pic>
                  <pic:nvPicPr>
                    <pic:cNvPr id="0" name="fig14_feature_importance.png"/>
                    <pic:cNvPicPr/>
                  </pic:nvPicPr>
                  <pic:blipFill>
                    <a:blip r:embed="rId23"/>
                    <a:stretch>
                      <a:fillRect/>
                    </a:stretch>
                  </pic:blipFill>
                  <pic:spPr>
                    <a:xfrm>
                      <a:off x="0" y="0"/>
                      <a:ext cx="5303520" cy="3423996"/>
                    </a:xfrm>
                    <a:prstGeom prst="rect"/>
                  </pic:spPr>
                </pic:pic>
              </a:graphicData>
            </a:graphic>
          </wp:inline>
        </w:drawing>
      </w:r>
    </w:p>
    <w:p>
      <w:pPr>
        <w:spacing w:after="200"/>
        <w:jc w:val="center"/>
      </w:pPr>
      <w:r>
        <w:rPr>
          <w:rFonts w:ascii="Arial" w:hAnsi="Arial"/>
          <w:i/>
          <w:color w:val="505050"/>
          <w:sz w:val="18"/>
        </w:rPr>
        <w:t>Figure 14: Permutation Feature Importance on Validation Set.</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152"/>
            <w:shd w:fill="103460"/>
            <w:tcMar>
              <w:top w:w="120" w:type="dxa"/>
              <w:bottom w:w="120" w:type="dxa"/>
              <w:left w:w="140" w:type="dxa"/>
              <w:right w:w="140" w:type="dxa"/>
            </w:tcMar>
          </w:tcPr>
          <w:p>
            <w:pPr>
              <w:jc w:val="center"/>
            </w:pPr>
            <w:r>
              <w:rPr>
                <w:rFonts w:ascii="Arial" w:hAnsi="Arial"/>
                <w:b/>
                <w:color w:val="FFFFFF"/>
                <w:sz w:val="18"/>
              </w:rPr>
              <w:t>Feature</w:t>
            </w:r>
          </w:p>
        </w:tc>
        <w:tc>
          <w:tcPr>
            <w:tcW w:type="dxa" w:w="2880"/>
            <w:shd w:fill="103460"/>
            <w:tcMar>
              <w:top w:w="120" w:type="dxa"/>
              <w:bottom w:w="120" w:type="dxa"/>
              <w:left w:w="140" w:type="dxa"/>
              <w:right w:w="140" w:type="dxa"/>
            </w:tcMar>
          </w:tcPr>
          <w:p>
            <w:pPr>
              <w:jc w:val="center"/>
            </w:pPr>
            <w:r>
              <w:rPr>
                <w:rFonts w:ascii="Arial" w:hAnsi="Arial"/>
                <w:b/>
                <w:color w:val="FFFFFF"/>
                <w:sz w:val="18"/>
              </w:rPr>
              <w:t>Baseline_MAE</w:t>
            </w:r>
          </w:p>
        </w:tc>
        <w:tc>
          <w:tcPr>
            <w:tcW w:type="dxa" w:w="2016"/>
            <w:shd w:fill="103460"/>
            <w:tcMar>
              <w:top w:w="120" w:type="dxa"/>
              <w:bottom w:w="120" w:type="dxa"/>
              <w:left w:w="140" w:type="dxa"/>
              <w:right w:w="140" w:type="dxa"/>
            </w:tcMar>
          </w:tcPr>
          <w:p>
            <w:pPr>
              <w:jc w:val="center"/>
            </w:pPr>
            <w:r>
              <w:rPr>
                <w:rFonts w:ascii="Arial" w:hAnsi="Arial"/>
                <w:b/>
                <w:color w:val="FFFFFF"/>
                <w:sz w:val="18"/>
              </w:rPr>
              <w:t>Mean_MAE_Increase</w:t>
            </w:r>
          </w:p>
        </w:tc>
        <w:tc>
          <w:tcPr>
            <w:tcW w:type="dxa" w:w="2160"/>
            <w:shd w:fill="103460"/>
            <w:tcMar>
              <w:top w:w="120" w:type="dxa"/>
              <w:bottom w:w="120" w:type="dxa"/>
              <w:left w:w="140" w:type="dxa"/>
              <w:right w:w="140" w:type="dxa"/>
            </w:tcMar>
          </w:tcPr>
          <w:p>
            <w:pPr>
              <w:jc w:val="center"/>
            </w:pPr>
            <w:r>
              <w:rPr>
                <w:rFonts w:ascii="Arial" w:hAnsi="Arial"/>
                <w:b/>
                <w:color w:val="FFFFFF"/>
                <w:sz w:val="18"/>
              </w:rPr>
              <w:t>Std_MAE_Increase</w:t>
            </w:r>
          </w:p>
        </w:tc>
        <w:tc>
          <w:tcPr>
            <w:tcW w:type="dxa" w:w="1872"/>
            <w:shd w:fill="103460"/>
            <w:tcMar>
              <w:top w:w="120" w:type="dxa"/>
              <w:bottom w:w="120" w:type="dxa"/>
              <w:left w:w="140" w:type="dxa"/>
              <w:right w:w="140" w:type="dxa"/>
            </w:tcMar>
          </w:tcPr>
          <w:p>
            <w:pPr>
              <w:jc w:val="center"/>
            </w:pPr>
            <w:r>
              <w:rPr>
                <w:rFonts w:ascii="Arial" w:hAnsi="Arial"/>
                <w:b/>
                <w:color w:val="FFFFFF"/>
                <w:sz w:val="18"/>
              </w:rPr>
              <w:t>Rank</w:t>
            </w:r>
          </w:p>
        </w:tc>
      </w:tr>
      <w:tr>
        <w:tc>
          <w:tcPr>
            <w:tcW w:type="dxa" w:w="1152"/>
            <w:shd w:fill="FFFFFF"/>
            <w:tcMar>
              <w:top w:w="80" w:type="dxa"/>
              <w:bottom w:w="80" w:type="dxa"/>
              <w:left w:w="120" w:type="dxa"/>
              <w:right w:w="120" w:type="dxa"/>
            </w:tcMar>
          </w:tcPr>
          <w:p>
            <w:pPr>
              <w:jc w:val="left"/>
            </w:pPr>
            <w:r>
              <w:rPr>
                <w:rFonts w:ascii="Arial" w:hAnsi="Arial"/>
                <w:sz w:val="17"/>
              </w:rPr>
              <w:t>PT08.S4(NO2)</w:t>
            </w:r>
          </w:p>
        </w:tc>
        <w:tc>
          <w:tcPr>
            <w:tcW w:type="dxa" w:w="2880"/>
            <w:shd w:fill="FFFFFF"/>
            <w:tcMar>
              <w:top w:w="80" w:type="dxa"/>
              <w:bottom w:w="80" w:type="dxa"/>
              <w:left w:w="120" w:type="dxa"/>
              <w:right w:w="120" w:type="dxa"/>
            </w:tcMar>
          </w:tcPr>
          <w:p>
            <w:pPr>
              <w:jc w:val="center"/>
            </w:pPr>
            <w:r>
              <w:rPr>
                <w:rFonts w:ascii="Arial" w:hAnsi="Arial"/>
                <w:sz w:val="17"/>
              </w:rPr>
              <w:t>0.5335</w:t>
            </w:r>
          </w:p>
        </w:tc>
        <w:tc>
          <w:tcPr>
            <w:tcW w:type="dxa" w:w="2016"/>
            <w:shd w:fill="FFFFFF"/>
            <w:tcMar>
              <w:top w:w="80" w:type="dxa"/>
              <w:bottom w:w="80" w:type="dxa"/>
              <w:left w:w="120" w:type="dxa"/>
              <w:right w:w="120" w:type="dxa"/>
            </w:tcMar>
          </w:tcPr>
          <w:p>
            <w:pPr>
              <w:jc w:val="center"/>
            </w:pPr>
            <w:r>
              <w:rPr>
                <w:rFonts w:ascii="Arial" w:hAnsi="Arial"/>
                <w:sz w:val="17"/>
              </w:rPr>
              <w:t>0.2829</w:t>
            </w:r>
          </w:p>
        </w:tc>
        <w:tc>
          <w:tcPr>
            <w:tcW w:type="dxa" w:w="2160"/>
            <w:shd w:fill="FFFFFF"/>
            <w:tcMar>
              <w:top w:w="80" w:type="dxa"/>
              <w:bottom w:w="80" w:type="dxa"/>
              <w:left w:w="120" w:type="dxa"/>
              <w:right w:w="120" w:type="dxa"/>
            </w:tcMar>
          </w:tcPr>
          <w:p>
            <w:pPr>
              <w:jc w:val="center"/>
            </w:pPr>
            <w:r>
              <w:rPr>
                <w:rFonts w:ascii="Arial" w:hAnsi="Arial"/>
                <w:sz w:val="17"/>
              </w:rPr>
              <w:t>0.0046</w:t>
            </w:r>
          </w:p>
        </w:tc>
        <w:tc>
          <w:tcPr>
            <w:tcW w:type="dxa" w:w="1872"/>
            <w:shd w:fill="FFFFFF"/>
            <w:tcMar>
              <w:top w:w="80" w:type="dxa"/>
              <w:bottom w:w="80" w:type="dxa"/>
              <w:left w:w="120" w:type="dxa"/>
              <w:right w:w="120" w:type="dxa"/>
            </w:tcMar>
          </w:tcPr>
          <w:p>
            <w:pPr>
              <w:jc w:val="center"/>
            </w:pPr>
            <w:r>
              <w:rPr>
                <w:rFonts w:ascii="Arial" w:hAnsi="Arial"/>
                <w:sz w:val="17"/>
              </w:rPr>
              <w:t>1</w:t>
            </w:r>
          </w:p>
        </w:tc>
      </w:tr>
      <w:tr>
        <w:tc>
          <w:tcPr>
            <w:tcW w:type="dxa" w:w="1152"/>
            <w:shd w:fill="F7F9FC"/>
            <w:tcMar>
              <w:top w:w="80" w:type="dxa"/>
              <w:bottom w:w="80" w:type="dxa"/>
              <w:left w:w="120" w:type="dxa"/>
              <w:right w:w="120" w:type="dxa"/>
            </w:tcMar>
          </w:tcPr>
          <w:p>
            <w:pPr>
              <w:jc w:val="left"/>
            </w:pPr>
            <w:r>
              <w:rPr>
                <w:rFonts w:ascii="Arial" w:hAnsi="Arial"/>
                <w:sz w:val="17"/>
              </w:rPr>
              <w:t>PT08.S2(NMHC)</w:t>
            </w:r>
          </w:p>
        </w:tc>
        <w:tc>
          <w:tcPr>
            <w:tcW w:type="dxa" w:w="2880"/>
            <w:shd w:fill="F7F9FC"/>
            <w:tcMar>
              <w:top w:w="80" w:type="dxa"/>
              <w:bottom w:w="80" w:type="dxa"/>
              <w:left w:w="120" w:type="dxa"/>
              <w:right w:w="120" w:type="dxa"/>
            </w:tcMar>
          </w:tcPr>
          <w:p>
            <w:pPr>
              <w:jc w:val="center"/>
            </w:pPr>
            <w:r>
              <w:rPr>
                <w:rFonts w:ascii="Arial" w:hAnsi="Arial"/>
                <w:sz w:val="17"/>
              </w:rPr>
              <w:t>0.5335</w:t>
            </w:r>
          </w:p>
        </w:tc>
        <w:tc>
          <w:tcPr>
            <w:tcW w:type="dxa" w:w="2016"/>
            <w:shd w:fill="F7F9FC"/>
            <w:tcMar>
              <w:top w:w="80" w:type="dxa"/>
              <w:bottom w:w="80" w:type="dxa"/>
              <w:left w:w="120" w:type="dxa"/>
              <w:right w:w="120" w:type="dxa"/>
            </w:tcMar>
          </w:tcPr>
          <w:p>
            <w:pPr>
              <w:jc w:val="center"/>
            </w:pPr>
            <w:r>
              <w:rPr>
                <w:rFonts w:ascii="Arial" w:hAnsi="Arial"/>
                <w:sz w:val="17"/>
              </w:rPr>
              <w:t>0.256</w:t>
            </w:r>
          </w:p>
        </w:tc>
        <w:tc>
          <w:tcPr>
            <w:tcW w:type="dxa" w:w="2160"/>
            <w:shd w:fill="F7F9FC"/>
            <w:tcMar>
              <w:top w:w="80" w:type="dxa"/>
              <w:bottom w:w="80" w:type="dxa"/>
              <w:left w:w="120" w:type="dxa"/>
              <w:right w:w="120" w:type="dxa"/>
            </w:tcMar>
          </w:tcPr>
          <w:p>
            <w:pPr>
              <w:jc w:val="center"/>
            </w:pPr>
            <w:r>
              <w:rPr>
                <w:rFonts w:ascii="Arial" w:hAnsi="Arial"/>
                <w:sz w:val="17"/>
              </w:rPr>
              <w:t>0.0047</w:t>
            </w:r>
          </w:p>
        </w:tc>
        <w:tc>
          <w:tcPr>
            <w:tcW w:type="dxa" w:w="1872"/>
            <w:shd w:fill="F7F9FC"/>
            <w:tcMar>
              <w:top w:w="80" w:type="dxa"/>
              <w:bottom w:w="80" w:type="dxa"/>
              <w:left w:w="120" w:type="dxa"/>
              <w:right w:w="120" w:type="dxa"/>
            </w:tcMar>
          </w:tcPr>
          <w:p>
            <w:pPr>
              <w:jc w:val="center"/>
            </w:pPr>
            <w:r>
              <w:rPr>
                <w:rFonts w:ascii="Arial" w:hAnsi="Arial"/>
                <w:sz w:val="17"/>
              </w:rPr>
              <w:t>2</w:t>
            </w:r>
          </w:p>
        </w:tc>
      </w:tr>
      <w:tr>
        <w:tc>
          <w:tcPr>
            <w:tcW w:type="dxa" w:w="1152"/>
            <w:shd w:fill="FFFFFF"/>
            <w:tcMar>
              <w:top w:w="80" w:type="dxa"/>
              <w:bottom w:w="80" w:type="dxa"/>
              <w:left w:w="120" w:type="dxa"/>
              <w:right w:w="120" w:type="dxa"/>
            </w:tcMar>
          </w:tcPr>
          <w:p>
            <w:pPr>
              <w:jc w:val="left"/>
            </w:pPr>
            <w:r>
              <w:rPr>
                <w:rFonts w:ascii="Arial" w:hAnsi="Arial"/>
                <w:sz w:val="17"/>
              </w:rPr>
              <w:t>PT08.S3(NOx)</w:t>
            </w:r>
          </w:p>
        </w:tc>
        <w:tc>
          <w:tcPr>
            <w:tcW w:type="dxa" w:w="2880"/>
            <w:shd w:fill="FFFFFF"/>
            <w:tcMar>
              <w:top w:w="80" w:type="dxa"/>
              <w:bottom w:w="80" w:type="dxa"/>
              <w:left w:w="120" w:type="dxa"/>
              <w:right w:w="120" w:type="dxa"/>
            </w:tcMar>
          </w:tcPr>
          <w:p>
            <w:pPr>
              <w:jc w:val="center"/>
            </w:pPr>
            <w:r>
              <w:rPr>
                <w:rFonts w:ascii="Arial" w:hAnsi="Arial"/>
                <w:sz w:val="17"/>
              </w:rPr>
              <w:t>0.5335</w:t>
            </w:r>
          </w:p>
        </w:tc>
        <w:tc>
          <w:tcPr>
            <w:tcW w:type="dxa" w:w="2016"/>
            <w:shd w:fill="FFFFFF"/>
            <w:tcMar>
              <w:top w:w="80" w:type="dxa"/>
              <w:bottom w:w="80" w:type="dxa"/>
              <w:left w:w="120" w:type="dxa"/>
              <w:right w:w="120" w:type="dxa"/>
            </w:tcMar>
          </w:tcPr>
          <w:p>
            <w:pPr>
              <w:jc w:val="center"/>
            </w:pPr>
            <w:r>
              <w:rPr>
                <w:rFonts w:ascii="Arial" w:hAnsi="Arial"/>
                <w:sz w:val="17"/>
              </w:rPr>
              <w:t>0.1088</w:t>
            </w:r>
          </w:p>
        </w:tc>
        <w:tc>
          <w:tcPr>
            <w:tcW w:type="dxa" w:w="2160"/>
            <w:shd w:fill="FFFFFF"/>
            <w:tcMar>
              <w:top w:w="80" w:type="dxa"/>
              <w:bottom w:w="80" w:type="dxa"/>
              <w:left w:w="120" w:type="dxa"/>
              <w:right w:w="120" w:type="dxa"/>
            </w:tcMar>
          </w:tcPr>
          <w:p>
            <w:pPr>
              <w:jc w:val="center"/>
            </w:pPr>
            <w:r>
              <w:rPr>
                <w:rFonts w:ascii="Arial" w:hAnsi="Arial"/>
                <w:sz w:val="17"/>
              </w:rPr>
              <w:t>0.0027</w:t>
            </w:r>
          </w:p>
        </w:tc>
        <w:tc>
          <w:tcPr>
            <w:tcW w:type="dxa" w:w="1872"/>
            <w:shd w:fill="FFFFFF"/>
            <w:tcMar>
              <w:top w:w="80" w:type="dxa"/>
              <w:bottom w:w="80" w:type="dxa"/>
              <w:left w:w="120" w:type="dxa"/>
              <w:right w:w="120" w:type="dxa"/>
            </w:tcMar>
          </w:tcPr>
          <w:p>
            <w:pPr>
              <w:jc w:val="center"/>
            </w:pPr>
            <w:r>
              <w:rPr>
                <w:rFonts w:ascii="Arial" w:hAnsi="Arial"/>
                <w:sz w:val="17"/>
              </w:rPr>
              <w:t>3</w:t>
            </w:r>
          </w:p>
        </w:tc>
      </w:tr>
      <w:tr>
        <w:tc>
          <w:tcPr>
            <w:tcW w:type="dxa" w:w="1152"/>
            <w:shd w:fill="F7F9FC"/>
            <w:tcMar>
              <w:top w:w="80" w:type="dxa"/>
              <w:bottom w:w="80" w:type="dxa"/>
              <w:left w:w="120" w:type="dxa"/>
              <w:right w:w="120" w:type="dxa"/>
            </w:tcMar>
          </w:tcPr>
          <w:p>
            <w:pPr>
              <w:jc w:val="left"/>
            </w:pPr>
            <w:r>
              <w:rPr>
                <w:rFonts w:ascii="Arial" w:hAnsi="Arial"/>
                <w:sz w:val="17"/>
              </w:rPr>
              <w:t>AH</w:t>
            </w:r>
          </w:p>
        </w:tc>
        <w:tc>
          <w:tcPr>
            <w:tcW w:type="dxa" w:w="2880"/>
            <w:shd w:fill="F7F9FC"/>
            <w:tcMar>
              <w:top w:w="80" w:type="dxa"/>
              <w:bottom w:w="80" w:type="dxa"/>
              <w:left w:w="120" w:type="dxa"/>
              <w:right w:w="120" w:type="dxa"/>
            </w:tcMar>
          </w:tcPr>
          <w:p>
            <w:pPr>
              <w:jc w:val="center"/>
            </w:pPr>
            <w:r>
              <w:rPr>
                <w:rFonts w:ascii="Arial" w:hAnsi="Arial"/>
                <w:sz w:val="17"/>
              </w:rPr>
              <w:t>0.5335</w:t>
            </w:r>
          </w:p>
        </w:tc>
        <w:tc>
          <w:tcPr>
            <w:tcW w:type="dxa" w:w="2016"/>
            <w:shd w:fill="F7F9FC"/>
            <w:tcMar>
              <w:top w:w="80" w:type="dxa"/>
              <w:bottom w:w="80" w:type="dxa"/>
              <w:left w:w="120" w:type="dxa"/>
              <w:right w:w="120" w:type="dxa"/>
            </w:tcMar>
          </w:tcPr>
          <w:p>
            <w:pPr>
              <w:jc w:val="center"/>
            </w:pPr>
            <w:r>
              <w:rPr>
                <w:rFonts w:ascii="Arial" w:hAnsi="Arial"/>
                <w:sz w:val="17"/>
              </w:rPr>
              <w:t>0.1036</w:t>
            </w:r>
          </w:p>
        </w:tc>
        <w:tc>
          <w:tcPr>
            <w:tcW w:type="dxa" w:w="2160"/>
            <w:shd w:fill="F7F9FC"/>
            <w:tcMar>
              <w:top w:w="80" w:type="dxa"/>
              <w:bottom w:w="80" w:type="dxa"/>
              <w:left w:w="120" w:type="dxa"/>
              <w:right w:w="120" w:type="dxa"/>
            </w:tcMar>
          </w:tcPr>
          <w:p>
            <w:pPr>
              <w:jc w:val="center"/>
            </w:pPr>
            <w:r>
              <w:rPr>
                <w:rFonts w:ascii="Arial" w:hAnsi="Arial"/>
                <w:sz w:val="17"/>
              </w:rPr>
              <w:t>0.0059</w:t>
            </w:r>
          </w:p>
        </w:tc>
        <w:tc>
          <w:tcPr>
            <w:tcW w:type="dxa" w:w="1872"/>
            <w:shd w:fill="F7F9FC"/>
            <w:tcMar>
              <w:top w:w="80" w:type="dxa"/>
              <w:bottom w:w="80" w:type="dxa"/>
              <w:left w:w="120" w:type="dxa"/>
              <w:right w:w="120" w:type="dxa"/>
            </w:tcMar>
          </w:tcPr>
          <w:p>
            <w:pPr>
              <w:jc w:val="center"/>
            </w:pPr>
            <w:r>
              <w:rPr>
                <w:rFonts w:ascii="Arial" w:hAnsi="Arial"/>
                <w:sz w:val="17"/>
              </w:rPr>
              <w:t>4</w:t>
            </w:r>
          </w:p>
        </w:tc>
      </w:tr>
      <w:tr>
        <w:tc>
          <w:tcPr>
            <w:tcW w:type="dxa" w:w="1152"/>
            <w:shd w:fill="FFFFFF"/>
            <w:tcMar>
              <w:top w:w="80" w:type="dxa"/>
              <w:bottom w:w="80" w:type="dxa"/>
              <w:left w:w="120" w:type="dxa"/>
              <w:right w:w="120" w:type="dxa"/>
            </w:tcMar>
          </w:tcPr>
          <w:p>
            <w:pPr>
              <w:jc w:val="left"/>
            </w:pPr>
            <w:r>
              <w:rPr>
                <w:rFonts w:ascii="Arial" w:hAnsi="Arial"/>
                <w:sz w:val="17"/>
              </w:rPr>
              <w:t>PT08.S1(CO)</w:t>
            </w:r>
          </w:p>
        </w:tc>
        <w:tc>
          <w:tcPr>
            <w:tcW w:type="dxa" w:w="2880"/>
            <w:shd w:fill="FFFFFF"/>
            <w:tcMar>
              <w:top w:w="80" w:type="dxa"/>
              <w:bottom w:w="80" w:type="dxa"/>
              <w:left w:w="120" w:type="dxa"/>
              <w:right w:w="120" w:type="dxa"/>
            </w:tcMar>
          </w:tcPr>
          <w:p>
            <w:pPr>
              <w:jc w:val="center"/>
            </w:pPr>
            <w:r>
              <w:rPr>
                <w:rFonts w:ascii="Arial" w:hAnsi="Arial"/>
                <w:sz w:val="17"/>
              </w:rPr>
              <w:t>0.5335</w:t>
            </w:r>
          </w:p>
        </w:tc>
        <w:tc>
          <w:tcPr>
            <w:tcW w:type="dxa" w:w="2016"/>
            <w:shd w:fill="FFFFFF"/>
            <w:tcMar>
              <w:top w:w="80" w:type="dxa"/>
              <w:bottom w:w="80" w:type="dxa"/>
              <w:left w:w="120" w:type="dxa"/>
              <w:right w:w="120" w:type="dxa"/>
            </w:tcMar>
          </w:tcPr>
          <w:p>
            <w:pPr>
              <w:jc w:val="center"/>
            </w:pPr>
            <w:r>
              <w:rPr>
                <w:rFonts w:ascii="Arial" w:hAnsi="Arial"/>
                <w:sz w:val="17"/>
              </w:rPr>
              <w:t>0.1009</w:t>
            </w:r>
          </w:p>
        </w:tc>
        <w:tc>
          <w:tcPr>
            <w:tcW w:type="dxa" w:w="2160"/>
            <w:shd w:fill="FFFFFF"/>
            <w:tcMar>
              <w:top w:w="80" w:type="dxa"/>
              <w:bottom w:w="80" w:type="dxa"/>
              <w:left w:w="120" w:type="dxa"/>
              <w:right w:w="120" w:type="dxa"/>
            </w:tcMar>
          </w:tcPr>
          <w:p>
            <w:pPr>
              <w:jc w:val="center"/>
            </w:pPr>
            <w:r>
              <w:rPr>
                <w:rFonts w:ascii="Arial" w:hAnsi="Arial"/>
                <w:sz w:val="17"/>
              </w:rPr>
              <w:t>0.0064</w:t>
            </w:r>
          </w:p>
        </w:tc>
        <w:tc>
          <w:tcPr>
            <w:tcW w:type="dxa" w:w="1872"/>
            <w:shd w:fill="FFFFFF"/>
            <w:tcMar>
              <w:top w:w="80" w:type="dxa"/>
              <w:bottom w:w="80" w:type="dxa"/>
              <w:left w:w="120" w:type="dxa"/>
              <w:right w:w="120" w:type="dxa"/>
            </w:tcMar>
          </w:tcPr>
          <w:p>
            <w:pPr>
              <w:jc w:val="center"/>
            </w:pPr>
            <w:r>
              <w:rPr>
                <w:rFonts w:ascii="Arial" w:hAnsi="Arial"/>
                <w:sz w:val="17"/>
              </w:rPr>
              <w:t>5</w:t>
            </w:r>
          </w:p>
        </w:tc>
      </w:tr>
      <w:tr>
        <w:tc>
          <w:tcPr>
            <w:tcW w:type="dxa" w:w="1152"/>
            <w:shd w:fill="F7F9FC"/>
            <w:tcMar>
              <w:top w:w="80" w:type="dxa"/>
              <w:bottom w:w="80" w:type="dxa"/>
              <w:left w:w="120" w:type="dxa"/>
              <w:right w:w="120" w:type="dxa"/>
            </w:tcMar>
          </w:tcPr>
          <w:p>
            <w:pPr>
              <w:jc w:val="left"/>
            </w:pPr>
            <w:r>
              <w:rPr>
                <w:rFonts w:ascii="Arial" w:hAnsi="Arial"/>
                <w:sz w:val="17"/>
              </w:rPr>
              <w:t>hour_sin</w:t>
            </w:r>
          </w:p>
        </w:tc>
        <w:tc>
          <w:tcPr>
            <w:tcW w:type="dxa" w:w="2880"/>
            <w:shd w:fill="F7F9FC"/>
            <w:tcMar>
              <w:top w:w="80" w:type="dxa"/>
              <w:bottom w:w="80" w:type="dxa"/>
              <w:left w:w="120" w:type="dxa"/>
              <w:right w:w="120" w:type="dxa"/>
            </w:tcMar>
          </w:tcPr>
          <w:p>
            <w:pPr>
              <w:jc w:val="center"/>
            </w:pPr>
            <w:r>
              <w:rPr>
                <w:rFonts w:ascii="Arial" w:hAnsi="Arial"/>
                <w:sz w:val="17"/>
              </w:rPr>
              <w:t>0.5335</w:t>
            </w:r>
          </w:p>
        </w:tc>
        <w:tc>
          <w:tcPr>
            <w:tcW w:type="dxa" w:w="2016"/>
            <w:shd w:fill="F7F9FC"/>
            <w:tcMar>
              <w:top w:w="80" w:type="dxa"/>
              <w:bottom w:w="80" w:type="dxa"/>
              <w:left w:w="120" w:type="dxa"/>
              <w:right w:w="120" w:type="dxa"/>
            </w:tcMar>
          </w:tcPr>
          <w:p>
            <w:pPr>
              <w:jc w:val="center"/>
            </w:pPr>
            <w:r>
              <w:rPr>
                <w:rFonts w:ascii="Arial" w:hAnsi="Arial"/>
                <w:sz w:val="17"/>
              </w:rPr>
              <w:t>0.0754</w:t>
            </w:r>
          </w:p>
        </w:tc>
        <w:tc>
          <w:tcPr>
            <w:tcW w:type="dxa" w:w="2160"/>
            <w:shd w:fill="F7F9FC"/>
            <w:tcMar>
              <w:top w:w="80" w:type="dxa"/>
              <w:bottom w:w="80" w:type="dxa"/>
              <w:left w:w="120" w:type="dxa"/>
              <w:right w:w="120" w:type="dxa"/>
            </w:tcMar>
          </w:tcPr>
          <w:p>
            <w:pPr>
              <w:jc w:val="center"/>
            </w:pPr>
            <w:r>
              <w:rPr>
                <w:rFonts w:ascii="Arial" w:hAnsi="Arial"/>
                <w:sz w:val="17"/>
              </w:rPr>
              <w:t>0.0033</w:t>
            </w:r>
          </w:p>
        </w:tc>
        <w:tc>
          <w:tcPr>
            <w:tcW w:type="dxa" w:w="1872"/>
            <w:shd w:fill="F7F9FC"/>
            <w:tcMar>
              <w:top w:w="80" w:type="dxa"/>
              <w:bottom w:w="80" w:type="dxa"/>
              <w:left w:w="120" w:type="dxa"/>
              <w:right w:w="120" w:type="dxa"/>
            </w:tcMar>
          </w:tcPr>
          <w:p>
            <w:pPr>
              <w:jc w:val="center"/>
            </w:pPr>
            <w:r>
              <w:rPr>
                <w:rFonts w:ascii="Arial" w:hAnsi="Arial"/>
                <w:sz w:val="17"/>
              </w:rPr>
              <w:t>6</w:t>
            </w:r>
          </w:p>
        </w:tc>
      </w:tr>
      <w:tr>
        <w:tc>
          <w:tcPr>
            <w:tcW w:type="dxa" w:w="1152"/>
            <w:shd w:fill="FFFFFF"/>
            <w:tcMar>
              <w:top w:w="80" w:type="dxa"/>
              <w:bottom w:w="80" w:type="dxa"/>
              <w:left w:w="120" w:type="dxa"/>
              <w:right w:w="120" w:type="dxa"/>
            </w:tcMar>
          </w:tcPr>
          <w:p>
            <w:pPr>
              <w:jc w:val="left"/>
            </w:pPr>
            <w:r>
              <w:rPr>
                <w:rFonts w:ascii="Arial" w:hAnsi="Arial"/>
                <w:sz w:val="17"/>
              </w:rPr>
              <w:t>day_of_week</w:t>
            </w:r>
          </w:p>
        </w:tc>
        <w:tc>
          <w:tcPr>
            <w:tcW w:type="dxa" w:w="2880"/>
            <w:shd w:fill="FFFFFF"/>
            <w:tcMar>
              <w:top w:w="80" w:type="dxa"/>
              <w:bottom w:w="80" w:type="dxa"/>
              <w:left w:w="120" w:type="dxa"/>
              <w:right w:w="120" w:type="dxa"/>
            </w:tcMar>
          </w:tcPr>
          <w:p>
            <w:pPr>
              <w:jc w:val="center"/>
            </w:pPr>
            <w:r>
              <w:rPr>
                <w:rFonts w:ascii="Arial" w:hAnsi="Arial"/>
                <w:sz w:val="17"/>
              </w:rPr>
              <w:t>0.5335</w:t>
            </w:r>
          </w:p>
        </w:tc>
        <w:tc>
          <w:tcPr>
            <w:tcW w:type="dxa" w:w="2016"/>
            <w:shd w:fill="FFFFFF"/>
            <w:tcMar>
              <w:top w:w="80" w:type="dxa"/>
              <w:bottom w:w="80" w:type="dxa"/>
              <w:left w:w="120" w:type="dxa"/>
              <w:right w:w="120" w:type="dxa"/>
            </w:tcMar>
          </w:tcPr>
          <w:p>
            <w:pPr>
              <w:jc w:val="center"/>
            </w:pPr>
            <w:r>
              <w:rPr>
                <w:rFonts w:ascii="Arial" w:hAnsi="Arial"/>
                <w:sz w:val="17"/>
              </w:rPr>
              <w:t>0.0437</w:t>
            </w:r>
          </w:p>
        </w:tc>
        <w:tc>
          <w:tcPr>
            <w:tcW w:type="dxa" w:w="2160"/>
            <w:shd w:fill="FFFFFF"/>
            <w:tcMar>
              <w:top w:w="80" w:type="dxa"/>
              <w:bottom w:w="80" w:type="dxa"/>
              <w:left w:w="120" w:type="dxa"/>
              <w:right w:w="120" w:type="dxa"/>
            </w:tcMar>
          </w:tcPr>
          <w:p>
            <w:pPr>
              <w:jc w:val="center"/>
            </w:pPr>
            <w:r>
              <w:rPr>
                <w:rFonts w:ascii="Arial" w:hAnsi="Arial"/>
                <w:sz w:val="17"/>
              </w:rPr>
              <w:t>0.0028</w:t>
            </w:r>
          </w:p>
        </w:tc>
        <w:tc>
          <w:tcPr>
            <w:tcW w:type="dxa" w:w="1872"/>
            <w:shd w:fill="FFFFFF"/>
            <w:tcMar>
              <w:top w:w="80" w:type="dxa"/>
              <w:bottom w:w="80" w:type="dxa"/>
              <w:left w:w="120" w:type="dxa"/>
              <w:right w:w="120" w:type="dxa"/>
            </w:tcMar>
          </w:tcPr>
          <w:p>
            <w:pPr>
              <w:jc w:val="center"/>
            </w:pPr>
            <w:r>
              <w:rPr>
                <w:rFonts w:ascii="Arial" w:hAnsi="Arial"/>
                <w:sz w:val="17"/>
              </w:rPr>
              <w:t>7</w:t>
            </w:r>
          </w:p>
        </w:tc>
      </w:tr>
      <w:tr>
        <w:tc>
          <w:tcPr>
            <w:tcW w:type="dxa" w:w="1152"/>
            <w:shd w:fill="F7F9FC"/>
            <w:tcMar>
              <w:top w:w="80" w:type="dxa"/>
              <w:bottom w:w="80" w:type="dxa"/>
              <w:left w:w="120" w:type="dxa"/>
              <w:right w:w="120" w:type="dxa"/>
            </w:tcMar>
          </w:tcPr>
          <w:p>
            <w:pPr>
              <w:jc w:val="left"/>
            </w:pPr>
            <w:r>
              <w:rPr>
                <w:rFonts w:ascii="Arial" w:hAnsi="Arial"/>
                <w:sz w:val="17"/>
              </w:rPr>
              <w:t>is_weekend</w:t>
            </w:r>
          </w:p>
        </w:tc>
        <w:tc>
          <w:tcPr>
            <w:tcW w:type="dxa" w:w="2880"/>
            <w:shd w:fill="F7F9FC"/>
            <w:tcMar>
              <w:top w:w="80" w:type="dxa"/>
              <w:bottom w:w="80" w:type="dxa"/>
              <w:left w:w="120" w:type="dxa"/>
              <w:right w:w="120" w:type="dxa"/>
            </w:tcMar>
          </w:tcPr>
          <w:p>
            <w:pPr>
              <w:jc w:val="center"/>
            </w:pPr>
            <w:r>
              <w:rPr>
                <w:rFonts w:ascii="Arial" w:hAnsi="Arial"/>
                <w:sz w:val="17"/>
              </w:rPr>
              <w:t>0.5335</w:t>
            </w:r>
          </w:p>
        </w:tc>
        <w:tc>
          <w:tcPr>
            <w:tcW w:type="dxa" w:w="2016"/>
            <w:shd w:fill="F7F9FC"/>
            <w:tcMar>
              <w:top w:w="80" w:type="dxa"/>
              <w:bottom w:w="80" w:type="dxa"/>
              <w:left w:w="120" w:type="dxa"/>
              <w:right w:w="120" w:type="dxa"/>
            </w:tcMar>
          </w:tcPr>
          <w:p>
            <w:pPr>
              <w:jc w:val="center"/>
            </w:pPr>
            <w:r>
              <w:rPr>
                <w:rFonts w:ascii="Arial" w:hAnsi="Arial"/>
                <w:sz w:val="17"/>
              </w:rPr>
              <w:t>0.0353</w:t>
            </w:r>
          </w:p>
        </w:tc>
        <w:tc>
          <w:tcPr>
            <w:tcW w:type="dxa" w:w="2160"/>
            <w:shd w:fill="F7F9FC"/>
            <w:tcMar>
              <w:top w:w="80" w:type="dxa"/>
              <w:bottom w:w="80" w:type="dxa"/>
              <w:left w:w="120" w:type="dxa"/>
              <w:right w:w="120" w:type="dxa"/>
            </w:tcMar>
          </w:tcPr>
          <w:p>
            <w:pPr>
              <w:jc w:val="center"/>
            </w:pPr>
            <w:r>
              <w:rPr>
                <w:rFonts w:ascii="Arial" w:hAnsi="Arial"/>
                <w:sz w:val="17"/>
              </w:rPr>
              <w:t>0.0039</w:t>
            </w:r>
          </w:p>
        </w:tc>
        <w:tc>
          <w:tcPr>
            <w:tcW w:type="dxa" w:w="1872"/>
            <w:shd w:fill="F7F9FC"/>
            <w:tcMar>
              <w:top w:w="80" w:type="dxa"/>
              <w:bottom w:w="80" w:type="dxa"/>
              <w:left w:w="120" w:type="dxa"/>
              <w:right w:w="120" w:type="dxa"/>
            </w:tcMar>
          </w:tcPr>
          <w:p>
            <w:pPr>
              <w:jc w:val="center"/>
            </w:pPr>
            <w:r>
              <w:rPr>
                <w:rFonts w:ascii="Arial" w:hAnsi="Arial"/>
                <w:sz w:val="17"/>
              </w:rPr>
              <w:t>8</w:t>
            </w:r>
          </w:p>
        </w:tc>
      </w:tr>
    </w:tbl>
    <w:p>
      <w:pPr>
        <w:spacing w:after="160"/>
      </w:pPr>
    </w:p>
    <w:p>
      <w:pPr>
        <w:spacing w:after="120" w:line="276" w:lineRule="auto"/>
      </w:pPr>
      <w:r>
        <w:rPr>
          <w:rFonts w:ascii="Arial" w:hAnsi="Arial"/>
          <w:b w:val="0"/>
          <w:i w:val="0"/>
          <w:sz w:val="20"/>
        </w:rPr>
        <w:t>The analysis demonstrates that PT08.S4(NO2) (mean MAE increase = +0.2829 mg/m³) and PT08.S2(NMHC) (+0.2560 mg/m³) are the most critical predictors, followed by PT08.S3(NOx) (+0.1088 mg/m³), Absolute Humidity AH (+0.1036 mg/m³), and primary sensor PT08.S1(CO) (+0.1009 mg/m³). Importantly, high feature importance reflects mathematical reliance within the trained network and must not be misinterpreted as scientific proof of physical causation, especially given known collinearity among co-emitted vehicular pollutants.</w:t>
      </w:r>
    </w:p>
    <w:p>
      <w:pPr>
        <w:pStyle w:val="Heading1"/>
        <w:keepNext/>
        <w:spacing w:before="240" w:after="80"/>
      </w:pPr>
      <w:r>
        <w:rPr>
          <w:rFonts w:ascii="Arial" w:hAnsi="Arial"/>
          <w:b/>
          <w:color w:val="103460"/>
          <w:sz w:val="30"/>
        </w:rPr>
        <w:t>11. Conclusion</w:t>
      </w:r>
    </w:p>
    <w:p>
      <w:pPr>
        <w:spacing w:after="120" w:line="276" w:lineRule="auto"/>
      </w:pPr>
      <w:r>
        <w:rPr>
          <w:rFonts w:ascii="Arial" w:hAnsi="Arial"/>
          <w:b w:val="0"/>
          <w:i w:val="0"/>
          <w:sz w:val="20"/>
        </w:rPr>
        <w:t>This project successfully developed an original, rigorous exploratory data analysis and deep learning regression pipeline for urban carbon monoxide concentration estimation. By enforcing strict data hygiene—eliminating -200 sentinels, dropping unlabelled target rows, preventing target leakage from other ground-truth analytes, and performing chronological partitioning—the deep learning MLP achieved strong generalization (R² = 0.8094, MAE = 0.3658 mg/m³, RMSE = 0.5564 mg/m³) on 1,152 unseen future test records. The findings prove that low-cost multisensor arrays, when calibrated using deep neural networks and environmental telemetry, provide a viable, cost-effective complement to expensive reference air quality monitoring stations.</w:t>
      </w:r>
    </w:p>
    <w:p>
      <w:pPr>
        <w:pStyle w:val="Heading1"/>
        <w:keepNext/>
        <w:spacing w:before="240" w:after="80"/>
      </w:pPr>
      <w:r>
        <w:rPr>
          <w:rFonts w:ascii="Arial" w:hAnsi="Arial"/>
          <w:b/>
          <w:color w:val="103460"/>
          <w:sz w:val="30"/>
        </w:rPr>
        <w:t>12. Future Scope</w:t>
      </w:r>
    </w:p>
    <w:p>
      <w:pPr>
        <w:spacing w:after="120" w:line="276" w:lineRule="auto"/>
      </w:pPr>
      <w:r>
        <w:rPr>
          <w:rFonts w:ascii="Arial" w:hAnsi="Arial"/>
          <w:b w:val="0"/>
          <w:i w:val="0"/>
          <w:sz w:val="20"/>
        </w:rPr>
        <w:t>Subsequent investigations could expand upon this foundation through several high-value avenues:</w:t>
      </w:r>
    </w:p>
    <w:p>
      <w:pPr>
        <w:spacing w:after="120" w:line="276" w:lineRule="auto"/>
      </w:pPr>
      <w:r>
        <w:rPr>
          <w:rFonts w:ascii="Arial" w:hAnsi="Arial"/>
          <w:b w:val="0"/>
          <w:i w:val="0"/>
          <w:sz w:val="20"/>
        </w:rPr>
        <w:t>1. Recurrent and Transformer Architectures: Implementing Long Short-Term Memory (LSTM), Gated Recurrent Units (GRU), or Temporal Fusion Transformers (TFT) to explicitly model multi-step temporal lag dependencies.</w:t>
      </w:r>
    </w:p>
    <w:p>
      <w:pPr>
        <w:spacing w:after="120" w:line="276" w:lineRule="auto"/>
      </w:pPr>
      <w:r>
        <w:rPr>
          <w:rFonts w:ascii="Arial" w:hAnsi="Arial"/>
          <w:b w:val="0"/>
          <w:i w:val="0"/>
          <w:sz w:val="20"/>
        </w:rPr>
        <w:t>2. Dynamic Sensor Drift Compensation: Developing continuous online calibration algorithms to compensate for long-term semiconductor chemical sensor aging and poisoning.</w:t>
      </w:r>
    </w:p>
    <w:p>
      <w:pPr>
        <w:spacing w:after="120" w:line="276" w:lineRule="auto"/>
      </w:pPr>
      <w:r>
        <w:rPr>
          <w:rFonts w:ascii="Arial" w:hAnsi="Arial"/>
          <w:b w:val="0"/>
          <w:i w:val="0"/>
          <w:sz w:val="20"/>
        </w:rPr>
        <w:t>3. Ancillary Telemetry Integration: Ingesting high-resolution localized vehicular traffic density and atmospheric boundary layer height data to improve extreme pollution event forecasting.</w:t>
      </w:r>
    </w:p>
    <w:p>
      <w:pPr>
        <w:spacing w:after="120" w:line="276" w:lineRule="auto"/>
      </w:pPr>
      <w:r>
        <w:rPr>
          <w:rFonts w:ascii="Arial" w:hAnsi="Arial"/>
          <w:b w:val="0"/>
          <w:i w:val="0"/>
          <w:sz w:val="20"/>
        </w:rPr>
        <w:t>4. Edge Device Deployment: Quantizing the trained MLP model using TensorFlow Lite for ultra-low-power embedded execution on IoT microcontrollers (e.g., ESP32 or Raspberry Pi).</w:t>
      </w:r>
    </w:p>
    <w:p>
      <w:pPr>
        <w:pStyle w:val="Heading1"/>
        <w:keepNext/>
        <w:spacing w:before="240" w:after="80"/>
      </w:pPr>
      <w:r>
        <w:rPr>
          <w:rFonts w:ascii="Arial" w:hAnsi="Arial"/>
          <w:b/>
          <w:color w:val="103460"/>
          <w:sz w:val="30"/>
        </w:rPr>
        <w:t>13. Literature Review</w:t>
      </w:r>
    </w:p>
    <w:p>
      <w:pPr>
        <w:spacing w:after="120" w:line="276" w:lineRule="auto"/>
      </w:pPr>
      <w:r>
        <w:rPr>
          <w:rFonts w:ascii="Arial" w:hAnsi="Arial"/>
          <w:b w:val="0"/>
          <w:i w:val="0"/>
          <w:sz w:val="20"/>
        </w:rPr>
        <w:t>Urban air quality monitoring has witnessed a paradigm shift from centralized, sparse analytical stations toward dense, distributed sensor networks. In their seminal study, De Vito et al. (2008) deployed an electronic nose multisensor array in an urban road setting, demonstrating that low-cost chemical sensors could estimate benzene and carbon monoxide when properly calibrated against certified ground-truth analyzers. However, classical linear calibration models struggled with sensor non-linearities, temperature drift, and humidity interference. Recent advances in deep learning (Goodfellow et al., 2016) demonstrate that Multi-Layer Perceptrons and non-linear activation functions effectively learn complex multidimensional sensor response surfaces. Furthermore, Fry (2008) formulated the Seven Stages of Visualization, providing a structured data interaction paradigm for high-dimensional scientific and environmental datasets.</w:t>
      </w:r>
    </w:p>
    <w:p>
      <w:pPr>
        <w:pStyle w:val="Heading1"/>
        <w:keepNext/>
        <w:spacing w:before="240" w:after="80"/>
      </w:pPr>
      <w:r>
        <w:rPr>
          <w:rFonts w:ascii="Arial" w:hAnsi="Arial"/>
          <w:b/>
          <w:color w:val="103460"/>
          <w:sz w:val="30"/>
        </w:rPr>
        <w:t>14. References</w:t>
      </w:r>
    </w:p>
    <w:p>
      <w:pPr>
        <w:spacing w:after="80" w:line="276" w:lineRule="auto"/>
      </w:pPr>
      <w:r>
        <w:rPr>
          <w:rFonts w:ascii="Arial" w:hAnsi="Arial"/>
          <w:b w:val="0"/>
          <w:i w:val="0"/>
          <w:sz w:val="20"/>
        </w:rPr>
        <w:t>[1] S. De Vito, E. Massera, M. Piga, L. Martinotto, and G. Di Francia, 'On field calibration of an electronic nose for benzene estimation in an urban pollution monitoring scenario,' Sensors and Actuators B: Chemical, vol. 129, no. 2, pp. 750–757, 2008. DOI: 10.1016/j.snb.2007.09.060.</w:t>
      </w:r>
    </w:p>
    <w:p>
      <w:pPr>
        <w:spacing w:after="80" w:line="276" w:lineRule="auto"/>
      </w:pPr>
      <w:r>
        <w:rPr>
          <w:rFonts w:ascii="Arial" w:hAnsi="Arial"/>
          <w:b w:val="0"/>
          <w:i w:val="0"/>
          <w:sz w:val="20"/>
        </w:rPr>
        <w:t>[2] UC Irvine Machine Learning Repository, 'Air Quality Dataset,' UCI ML Repository, 2016. [Online]. Available: https://archive.ics.uci.edu/dataset/360/air+quality. DOI: 10.24432/C59K5F.</w:t>
      </w:r>
    </w:p>
    <w:p>
      <w:pPr>
        <w:spacing w:after="80" w:line="276" w:lineRule="auto"/>
      </w:pPr>
      <w:r>
        <w:rPr>
          <w:rFonts w:ascii="Arial" w:hAnsi="Arial"/>
          <w:b w:val="0"/>
          <w:i w:val="0"/>
          <w:sz w:val="20"/>
        </w:rPr>
        <w:t>[3] World Health Organization, 'WHO Global Air Quality Guidelines: Particulate matter (PM2.5 and PM10), ozone, nitrogen dioxide, sulfur dioxide and carbon monoxide,' World Health Organization, Geneva, Switzerland, 2021.</w:t>
      </w:r>
    </w:p>
    <w:p>
      <w:pPr>
        <w:spacing w:after="80" w:line="276" w:lineRule="auto"/>
      </w:pPr>
      <w:r>
        <w:rPr>
          <w:rFonts w:ascii="Arial" w:hAnsi="Arial"/>
          <w:b w:val="0"/>
          <w:i w:val="0"/>
          <w:sz w:val="20"/>
        </w:rPr>
        <w:t>[4] F. Pedregosa et al., 'Scikit-learn: Machine learning in Python,' Journal of Machine Learning Research, vol. 12, pp. 2825–2830, 2011.</w:t>
      </w:r>
    </w:p>
    <w:p>
      <w:pPr>
        <w:spacing w:after="80" w:line="276" w:lineRule="auto"/>
      </w:pPr>
      <w:r>
        <w:rPr>
          <w:rFonts w:ascii="Arial" w:hAnsi="Arial"/>
          <w:b w:val="0"/>
          <w:i w:val="0"/>
          <w:sz w:val="20"/>
        </w:rPr>
        <w:t>[5] M. Abadi et al., 'TensorFlow: A system for large-scale machine learning,' in 12th USENIX Symposium on Operating Systems Design and Implementation (OSDI 16), 2016, pp. 265–283.</w:t>
      </w:r>
    </w:p>
    <w:p>
      <w:pPr>
        <w:spacing w:after="80" w:line="276" w:lineRule="auto"/>
      </w:pPr>
      <w:r>
        <w:rPr>
          <w:rFonts w:ascii="Arial" w:hAnsi="Arial"/>
          <w:b w:val="0"/>
          <w:i w:val="0"/>
          <w:sz w:val="20"/>
        </w:rPr>
        <w:t>[6] B. Fry, Visualizing Data: Exploring and Explaining Data with the Processing Environment, O'Reilly Media, Sebastopol, CA, 2008.</w:t>
      </w:r>
    </w:p>
    <w:p>
      <w:pPr>
        <w:pStyle w:val="Heading1"/>
        <w:keepNext/>
        <w:spacing w:before="240" w:after="80"/>
      </w:pPr>
      <w:r>
        <w:rPr>
          <w:rFonts w:ascii="Arial" w:hAnsi="Arial"/>
          <w:b/>
          <w:color w:val="103460"/>
          <w:sz w:val="30"/>
        </w:rPr>
        <w:t>15. Appendix</w:t>
      </w:r>
    </w:p>
    <w:p>
      <w:pPr>
        <w:pStyle w:val="Heading2"/>
        <w:keepNext/>
        <w:spacing w:before="240" w:after="80"/>
      </w:pPr>
      <w:r>
        <w:rPr>
          <w:rFonts w:ascii="Arial" w:hAnsi="Arial"/>
          <w:b/>
          <w:color w:val="1E5082"/>
          <w:sz w:val="25"/>
        </w:rPr>
        <w:t>15.1 Software Environment and Package Versions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03460"/>
            <w:tcMar>
              <w:top w:w="120" w:type="dxa"/>
              <w:bottom w:w="120" w:type="dxa"/>
              <w:left w:w="140" w:type="dxa"/>
              <w:right w:w="140" w:type="dxa"/>
            </w:tcMar>
          </w:tcPr>
          <w:p>
            <w:pPr>
              <w:jc w:val="center"/>
            </w:pPr>
            <w:r>
              <w:rPr>
                <w:rFonts w:ascii="Arial" w:hAnsi="Arial"/>
                <w:b/>
                <w:color w:val="FFFFFF"/>
                <w:sz w:val="18"/>
              </w:rPr>
              <w:t>Package</w:t>
            </w:r>
          </w:p>
        </w:tc>
        <w:tc>
          <w:tcPr>
            <w:tcW w:type="dxa" w:w="2160"/>
            <w:shd w:fill="103460"/>
            <w:tcMar>
              <w:top w:w="120" w:type="dxa"/>
              <w:bottom w:w="120" w:type="dxa"/>
              <w:left w:w="140" w:type="dxa"/>
              <w:right w:w="140" w:type="dxa"/>
            </w:tcMar>
          </w:tcPr>
          <w:p>
            <w:pPr>
              <w:jc w:val="center"/>
            </w:pPr>
            <w:r>
              <w:rPr>
                <w:rFonts w:ascii="Arial" w:hAnsi="Arial"/>
                <w:b/>
                <w:color w:val="FFFFFF"/>
                <w:sz w:val="18"/>
              </w:rPr>
              <w:t>Version</w:t>
            </w:r>
          </w:p>
        </w:tc>
        <w:tc>
          <w:tcPr>
            <w:tcW w:type="dxa" w:w="5328"/>
            <w:shd w:fill="103460"/>
            <w:tcMar>
              <w:top w:w="120" w:type="dxa"/>
              <w:bottom w:w="120" w:type="dxa"/>
              <w:left w:w="140" w:type="dxa"/>
              <w:right w:w="140" w:type="dxa"/>
            </w:tcMar>
          </w:tcPr>
          <w:p>
            <w:pPr>
              <w:jc w:val="center"/>
            </w:pPr>
            <w:r>
              <w:rPr>
                <w:rFonts w:ascii="Arial" w:hAnsi="Arial"/>
                <w:b/>
                <w:color w:val="FFFFFF"/>
                <w:sz w:val="18"/>
              </w:rPr>
              <w:t>Role</w:t>
            </w:r>
          </w:p>
        </w:tc>
      </w:tr>
      <w:tr>
        <w:tc>
          <w:tcPr>
            <w:tcW w:type="dxa" w:w="2592"/>
            <w:shd w:fill="FFFFFF"/>
            <w:tcMar>
              <w:top w:w="80" w:type="dxa"/>
              <w:bottom w:w="80" w:type="dxa"/>
              <w:left w:w="120" w:type="dxa"/>
              <w:right w:w="120" w:type="dxa"/>
            </w:tcMar>
          </w:tcPr>
          <w:p>
            <w:pPr>
              <w:jc w:val="left"/>
            </w:pPr>
            <w:r>
              <w:rPr>
                <w:rFonts w:ascii="Arial" w:hAnsi="Arial"/>
                <w:sz w:val="17"/>
              </w:rPr>
              <w:t>Python</w:t>
            </w:r>
          </w:p>
        </w:tc>
        <w:tc>
          <w:tcPr>
            <w:tcW w:type="dxa" w:w="2160"/>
            <w:shd w:fill="FFFFFF"/>
            <w:tcMar>
              <w:top w:w="80" w:type="dxa"/>
              <w:bottom w:w="80" w:type="dxa"/>
              <w:left w:w="120" w:type="dxa"/>
              <w:right w:w="120" w:type="dxa"/>
            </w:tcMar>
          </w:tcPr>
          <w:p>
            <w:pPr>
              <w:jc w:val="center"/>
            </w:pPr>
            <w:r>
              <w:rPr>
                <w:rFonts w:ascii="Arial" w:hAnsi="Arial"/>
                <w:sz w:val="17"/>
              </w:rPr>
              <w:t>3.12.10</w:t>
            </w:r>
          </w:p>
        </w:tc>
        <w:tc>
          <w:tcPr>
            <w:tcW w:type="dxa" w:w="5328"/>
            <w:shd w:fill="FFFFFF"/>
            <w:tcMar>
              <w:top w:w="80" w:type="dxa"/>
              <w:bottom w:w="80" w:type="dxa"/>
              <w:left w:w="120" w:type="dxa"/>
              <w:right w:w="120" w:type="dxa"/>
            </w:tcMar>
          </w:tcPr>
          <w:p>
            <w:pPr>
              <w:jc w:val="center"/>
            </w:pPr>
            <w:r>
              <w:rPr>
                <w:rFonts w:ascii="Arial" w:hAnsi="Arial"/>
                <w:sz w:val="17"/>
              </w:rPr>
              <w:t>Core programming runtime</w:t>
            </w:r>
          </w:p>
        </w:tc>
      </w:tr>
      <w:tr>
        <w:tc>
          <w:tcPr>
            <w:tcW w:type="dxa" w:w="2592"/>
            <w:shd w:fill="F7F9FC"/>
            <w:tcMar>
              <w:top w:w="80" w:type="dxa"/>
              <w:bottom w:w="80" w:type="dxa"/>
              <w:left w:w="120" w:type="dxa"/>
              <w:right w:w="120" w:type="dxa"/>
            </w:tcMar>
          </w:tcPr>
          <w:p>
            <w:pPr>
              <w:jc w:val="left"/>
            </w:pPr>
            <w:r>
              <w:rPr>
                <w:rFonts w:ascii="Arial" w:hAnsi="Arial"/>
                <w:sz w:val="17"/>
              </w:rPr>
              <w:t>TensorFlow / Keras</w:t>
            </w:r>
          </w:p>
        </w:tc>
        <w:tc>
          <w:tcPr>
            <w:tcW w:type="dxa" w:w="2160"/>
            <w:shd w:fill="F7F9FC"/>
            <w:tcMar>
              <w:top w:w="80" w:type="dxa"/>
              <w:bottom w:w="80" w:type="dxa"/>
              <w:left w:w="120" w:type="dxa"/>
              <w:right w:w="120" w:type="dxa"/>
            </w:tcMar>
          </w:tcPr>
          <w:p>
            <w:pPr>
              <w:jc w:val="center"/>
            </w:pPr>
            <w:r>
              <w:rPr>
                <w:rFonts w:ascii="Arial" w:hAnsi="Arial"/>
                <w:sz w:val="17"/>
              </w:rPr>
              <w:t>2.21.0 / 3.15.1</w:t>
            </w:r>
          </w:p>
        </w:tc>
        <w:tc>
          <w:tcPr>
            <w:tcW w:type="dxa" w:w="5328"/>
            <w:shd w:fill="F7F9FC"/>
            <w:tcMar>
              <w:top w:w="80" w:type="dxa"/>
              <w:bottom w:w="80" w:type="dxa"/>
              <w:left w:w="120" w:type="dxa"/>
              <w:right w:w="120" w:type="dxa"/>
            </w:tcMar>
          </w:tcPr>
          <w:p>
            <w:pPr>
              <w:jc w:val="center"/>
            </w:pPr>
            <w:r>
              <w:rPr>
                <w:rFonts w:ascii="Arial" w:hAnsi="Arial"/>
                <w:sz w:val="17"/>
              </w:rPr>
              <w:t>Deep learning MLP architecture &amp; training</w:t>
            </w:r>
          </w:p>
        </w:tc>
      </w:tr>
      <w:tr>
        <w:tc>
          <w:tcPr>
            <w:tcW w:type="dxa" w:w="2592"/>
            <w:shd w:fill="FFFFFF"/>
            <w:tcMar>
              <w:top w:w="80" w:type="dxa"/>
              <w:bottom w:w="80" w:type="dxa"/>
              <w:left w:w="120" w:type="dxa"/>
              <w:right w:w="120" w:type="dxa"/>
            </w:tcMar>
          </w:tcPr>
          <w:p>
            <w:pPr>
              <w:jc w:val="left"/>
            </w:pPr>
            <w:r>
              <w:rPr>
                <w:rFonts w:ascii="Arial" w:hAnsi="Arial"/>
                <w:sz w:val="17"/>
              </w:rPr>
              <w:t>scikit-learn</w:t>
            </w:r>
          </w:p>
        </w:tc>
        <w:tc>
          <w:tcPr>
            <w:tcW w:type="dxa" w:w="2160"/>
            <w:shd w:fill="FFFFFF"/>
            <w:tcMar>
              <w:top w:w="80" w:type="dxa"/>
              <w:bottom w:w="80" w:type="dxa"/>
              <w:left w:w="120" w:type="dxa"/>
              <w:right w:w="120" w:type="dxa"/>
            </w:tcMar>
          </w:tcPr>
          <w:p>
            <w:pPr>
              <w:jc w:val="center"/>
            </w:pPr>
            <w:r>
              <w:rPr>
                <w:rFonts w:ascii="Arial" w:hAnsi="Arial"/>
                <w:sz w:val="17"/>
              </w:rPr>
              <w:t>1.8.0</w:t>
            </w:r>
          </w:p>
        </w:tc>
        <w:tc>
          <w:tcPr>
            <w:tcW w:type="dxa" w:w="5328"/>
            <w:shd w:fill="FFFFFF"/>
            <w:tcMar>
              <w:top w:w="80" w:type="dxa"/>
              <w:bottom w:w="80" w:type="dxa"/>
              <w:left w:w="120" w:type="dxa"/>
              <w:right w:w="120" w:type="dxa"/>
            </w:tcMar>
          </w:tcPr>
          <w:p>
            <w:pPr>
              <w:jc w:val="center"/>
            </w:pPr>
            <w:r>
              <w:rPr>
                <w:rFonts w:ascii="Arial" w:hAnsi="Arial"/>
                <w:sz w:val="17"/>
              </w:rPr>
              <w:t>Train-only imputation, scaling, regression metrics</w:t>
            </w:r>
          </w:p>
        </w:tc>
      </w:tr>
      <w:tr>
        <w:tc>
          <w:tcPr>
            <w:tcW w:type="dxa" w:w="2592"/>
            <w:shd w:fill="F7F9FC"/>
            <w:tcMar>
              <w:top w:w="80" w:type="dxa"/>
              <w:bottom w:w="80" w:type="dxa"/>
              <w:left w:w="120" w:type="dxa"/>
              <w:right w:w="120" w:type="dxa"/>
            </w:tcMar>
          </w:tcPr>
          <w:p>
            <w:pPr>
              <w:jc w:val="left"/>
            </w:pPr>
            <w:r>
              <w:rPr>
                <w:rFonts w:ascii="Arial" w:hAnsi="Arial"/>
                <w:sz w:val="17"/>
              </w:rPr>
              <w:t>pandas</w:t>
            </w:r>
          </w:p>
        </w:tc>
        <w:tc>
          <w:tcPr>
            <w:tcW w:type="dxa" w:w="2160"/>
            <w:shd w:fill="F7F9FC"/>
            <w:tcMar>
              <w:top w:w="80" w:type="dxa"/>
              <w:bottom w:w="80" w:type="dxa"/>
              <w:left w:w="120" w:type="dxa"/>
              <w:right w:w="120" w:type="dxa"/>
            </w:tcMar>
          </w:tcPr>
          <w:p>
            <w:pPr>
              <w:jc w:val="center"/>
            </w:pPr>
            <w:r>
              <w:rPr>
                <w:rFonts w:ascii="Arial" w:hAnsi="Arial"/>
                <w:sz w:val="17"/>
              </w:rPr>
              <w:t>2.3.3</w:t>
            </w:r>
          </w:p>
        </w:tc>
        <w:tc>
          <w:tcPr>
            <w:tcW w:type="dxa" w:w="5328"/>
            <w:shd w:fill="F7F9FC"/>
            <w:tcMar>
              <w:top w:w="80" w:type="dxa"/>
              <w:bottom w:w="80" w:type="dxa"/>
              <w:left w:w="120" w:type="dxa"/>
              <w:right w:w="120" w:type="dxa"/>
            </w:tcMar>
          </w:tcPr>
          <w:p>
            <w:pPr>
              <w:jc w:val="center"/>
            </w:pPr>
            <w:r>
              <w:rPr>
                <w:rFonts w:ascii="Arial" w:hAnsi="Arial"/>
                <w:sz w:val="17"/>
              </w:rPr>
              <w:t>Data structures and chronological time series processing</w:t>
            </w:r>
          </w:p>
        </w:tc>
      </w:tr>
      <w:tr>
        <w:tc>
          <w:tcPr>
            <w:tcW w:type="dxa" w:w="2592"/>
            <w:shd w:fill="FFFFFF"/>
            <w:tcMar>
              <w:top w:w="80" w:type="dxa"/>
              <w:bottom w:w="80" w:type="dxa"/>
              <w:left w:w="120" w:type="dxa"/>
              <w:right w:w="120" w:type="dxa"/>
            </w:tcMar>
          </w:tcPr>
          <w:p>
            <w:pPr>
              <w:jc w:val="left"/>
            </w:pPr>
            <w:r>
              <w:rPr>
                <w:rFonts w:ascii="Arial" w:hAnsi="Arial"/>
                <w:sz w:val="17"/>
              </w:rPr>
              <w:t>numpy</w:t>
            </w:r>
          </w:p>
        </w:tc>
        <w:tc>
          <w:tcPr>
            <w:tcW w:type="dxa" w:w="2160"/>
            <w:shd w:fill="FFFFFF"/>
            <w:tcMar>
              <w:top w:w="80" w:type="dxa"/>
              <w:bottom w:w="80" w:type="dxa"/>
              <w:left w:w="120" w:type="dxa"/>
              <w:right w:w="120" w:type="dxa"/>
            </w:tcMar>
          </w:tcPr>
          <w:p>
            <w:pPr>
              <w:jc w:val="center"/>
            </w:pPr>
            <w:r>
              <w:rPr>
                <w:rFonts w:ascii="Arial" w:hAnsi="Arial"/>
                <w:sz w:val="17"/>
              </w:rPr>
              <w:t>2.4.3</w:t>
            </w:r>
          </w:p>
        </w:tc>
        <w:tc>
          <w:tcPr>
            <w:tcW w:type="dxa" w:w="5328"/>
            <w:shd w:fill="FFFFFF"/>
            <w:tcMar>
              <w:top w:w="80" w:type="dxa"/>
              <w:bottom w:w="80" w:type="dxa"/>
              <w:left w:w="120" w:type="dxa"/>
              <w:right w:w="120" w:type="dxa"/>
            </w:tcMar>
          </w:tcPr>
          <w:p>
            <w:pPr>
              <w:jc w:val="center"/>
            </w:pPr>
            <w:r>
              <w:rPr>
                <w:rFonts w:ascii="Arial" w:hAnsi="Arial"/>
                <w:sz w:val="17"/>
              </w:rPr>
              <w:t>Numerical linear algebra and cyclical transformations</w:t>
            </w:r>
          </w:p>
        </w:tc>
      </w:tr>
      <w:tr>
        <w:tc>
          <w:tcPr>
            <w:tcW w:type="dxa" w:w="2592"/>
            <w:shd w:fill="F7F9FC"/>
            <w:tcMar>
              <w:top w:w="80" w:type="dxa"/>
              <w:bottom w:w="80" w:type="dxa"/>
              <w:left w:w="120" w:type="dxa"/>
              <w:right w:w="120" w:type="dxa"/>
            </w:tcMar>
          </w:tcPr>
          <w:p>
            <w:pPr>
              <w:jc w:val="left"/>
            </w:pPr>
            <w:r>
              <w:rPr>
                <w:rFonts w:ascii="Arial" w:hAnsi="Arial"/>
                <w:sz w:val="17"/>
              </w:rPr>
              <w:t>matplotlib</w:t>
            </w:r>
          </w:p>
        </w:tc>
        <w:tc>
          <w:tcPr>
            <w:tcW w:type="dxa" w:w="2160"/>
            <w:shd w:fill="F7F9FC"/>
            <w:tcMar>
              <w:top w:w="80" w:type="dxa"/>
              <w:bottom w:w="80" w:type="dxa"/>
              <w:left w:w="120" w:type="dxa"/>
              <w:right w:w="120" w:type="dxa"/>
            </w:tcMar>
          </w:tcPr>
          <w:p>
            <w:pPr>
              <w:jc w:val="center"/>
            </w:pPr>
            <w:r>
              <w:rPr>
                <w:rFonts w:ascii="Arial" w:hAnsi="Arial"/>
                <w:sz w:val="17"/>
              </w:rPr>
              <w:t>3.10.8</w:t>
            </w:r>
          </w:p>
        </w:tc>
        <w:tc>
          <w:tcPr>
            <w:tcW w:type="dxa" w:w="5328"/>
            <w:shd w:fill="F7F9FC"/>
            <w:tcMar>
              <w:top w:w="80" w:type="dxa"/>
              <w:bottom w:w="80" w:type="dxa"/>
              <w:left w:w="120" w:type="dxa"/>
              <w:right w:w="120" w:type="dxa"/>
            </w:tcMar>
          </w:tcPr>
          <w:p>
            <w:pPr>
              <w:jc w:val="center"/>
            </w:pPr>
            <w:r>
              <w:rPr>
                <w:rFonts w:ascii="Arial" w:hAnsi="Arial"/>
                <w:sz w:val="17"/>
              </w:rPr>
              <w:t>Publication-quality 300 DPI chart generation</w:t>
            </w:r>
          </w:p>
        </w:tc>
      </w:tr>
      <w:tr>
        <w:tc>
          <w:tcPr>
            <w:tcW w:type="dxa" w:w="2592"/>
            <w:shd w:fill="FFFFFF"/>
            <w:tcMar>
              <w:top w:w="80" w:type="dxa"/>
              <w:bottom w:w="80" w:type="dxa"/>
              <w:left w:w="120" w:type="dxa"/>
              <w:right w:w="120" w:type="dxa"/>
            </w:tcMar>
          </w:tcPr>
          <w:p>
            <w:pPr>
              <w:jc w:val="left"/>
            </w:pPr>
            <w:r>
              <w:rPr>
                <w:rFonts w:ascii="Arial" w:hAnsi="Arial"/>
                <w:sz w:val="17"/>
              </w:rPr>
              <w:t>seaborn</w:t>
            </w:r>
          </w:p>
        </w:tc>
        <w:tc>
          <w:tcPr>
            <w:tcW w:type="dxa" w:w="2160"/>
            <w:shd w:fill="FFFFFF"/>
            <w:tcMar>
              <w:top w:w="80" w:type="dxa"/>
              <w:bottom w:w="80" w:type="dxa"/>
              <w:left w:w="120" w:type="dxa"/>
              <w:right w:w="120" w:type="dxa"/>
            </w:tcMar>
          </w:tcPr>
          <w:p>
            <w:pPr>
              <w:jc w:val="center"/>
            </w:pPr>
            <w:r>
              <w:rPr>
                <w:rFonts w:ascii="Arial" w:hAnsi="Arial"/>
                <w:sz w:val="17"/>
              </w:rPr>
              <w:t>0.13.2</w:t>
            </w:r>
          </w:p>
        </w:tc>
        <w:tc>
          <w:tcPr>
            <w:tcW w:type="dxa" w:w="5328"/>
            <w:shd w:fill="FFFFFF"/>
            <w:tcMar>
              <w:top w:w="80" w:type="dxa"/>
              <w:bottom w:w="80" w:type="dxa"/>
              <w:left w:w="120" w:type="dxa"/>
              <w:right w:w="120" w:type="dxa"/>
            </w:tcMar>
          </w:tcPr>
          <w:p>
            <w:pPr>
              <w:jc w:val="center"/>
            </w:pPr>
            <w:r>
              <w:rPr>
                <w:rFonts w:ascii="Arial" w:hAnsi="Arial"/>
                <w:sz w:val="17"/>
              </w:rPr>
              <w:t>Statistical distribution plotting and styling</w:t>
            </w:r>
          </w:p>
        </w:tc>
      </w:tr>
      <w:tr>
        <w:tc>
          <w:tcPr>
            <w:tcW w:type="dxa" w:w="2592"/>
            <w:shd w:fill="F7F9FC"/>
            <w:tcMar>
              <w:top w:w="80" w:type="dxa"/>
              <w:bottom w:w="80" w:type="dxa"/>
              <w:left w:w="120" w:type="dxa"/>
              <w:right w:w="120" w:type="dxa"/>
            </w:tcMar>
          </w:tcPr>
          <w:p>
            <w:pPr>
              <w:jc w:val="left"/>
            </w:pPr>
            <w:r>
              <w:rPr>
                <w:rFonts w:ascii="Arial" w:hAnsi="Arial"/>
                <w:sz w:val="17"/>
              </w:rPr>
              <w:t>plotly</w:t>
            </w:r>
          </w:p>
        </w:tc>
        <w:tc>
          <w:tcPr>
            <w:tcW w:type="dxa" w:w="2160"/>
            <w:shd w:fill="F7F9FC"/>
            <w:tcMar>
              <w:top w:w="80" w:type="dxa"/>
              <w:bottom w:w="80" w:type="dxa"/>
              <w:left w:w="120" w:type="dxa"/>
              <w:right w:w="120" w:type="dxa"/>
            </w:tcMar>
          </w:tcPr>
          <w:p>
            <w:pPr>
              <w:jc w:val="center"/>
            </w:pPr>
            <w:r>
              <w:rPr>
                <w:rFonts w:ascii="Arial" w:hAnsi="Arial"/>
                <w:sz w:val="17"/>
              </w:rPr>
              <w:t>7.1.0</w:t>
            </w:r>
          </w:p>
        </w:tc>
        <w:tc>
          <w:tcPr>
            <w:tcW w:type="dxa" w:w="5328"/>
            <w:shd w:fill="F7F9FC"/>
            <w:tcMar>
              <w:top w:w="80" w:type="dxa"/>
              <w:bottom w:w="80" w:type="dxa"/>
              <w:left w:w="120" w:type="dxa"/>
              <w:right w:w="120" w:type="dxa"/>
            </w:tcMar>
          </w:tcPr>
          <w:p>
            <w:pPr>
              <w:jc w:val="center"/>
            </w:pPr>
            <w:r>
              <w:rPr>
                <w:rFonts w:ascii="Arial" w:hAnsi="Arial"/>
                <w:sz w:val="17"/>
              </w:rPr>
              <w:t>Interactive Stage 7 HTML dashboard rendering</w:t>
            </w:r>
          </w:p>
        </w:tc>
      </w:tr>
    </w:tbl>
    <w:p>
      <w:pPr>
        <w:spacing w:after="160"/>
      </w:pPr>
    </w:p>
    <w:p>
      <w:pPr>
        <w:pStyle w:val="Heading2"/>
        <w:keepNext/>
        <w:spacing w:before="240" w:after="80"/>
      </w:pPr>
      <w:r>
        <w:rPr>
          <w:rFonts w:ascii="Arial" w:hAnsi="Arial"/>
          <w:b/>
          <w:color w:val="1E5082"/>
          <w:sz w:val="25"/>
        </w:rPr>
        <w:t>15.2 Project Repository File Manifest</w:t>
      </w:r>
    </w:p>
    <w:p>
      <w:pPr>
        <w:spacing w:after="120" w:line="276" w:lineRule="auto"/>
      </w:pPr>
      <w:r>
        <w:rPr>
          <w:rFonts w:ascii="Arial" w:hAnsi="Arial"/>
          <w:b w:val="0"/>
          <w:i w:val="0"/>
          <w:sz w:val="20"/>
        </w:rPr>
        <w:t>• src/data_loader.py: Automated UCI dataset downloader and data quality inspector.</w:t>
      </w:r>
    </w:p>
    <w:p>
      <w:pPr>
        <w:spacing w:after="120" w:line="276" w:lineRule="auto"/>
      </w:pPr>
      <w:r>
        <w:rPr>
          <w:rFonts w:ascii="Arial" w:hAnsi="Arial"/>
          <w:b w:val="0"/>
          <w:i w:val="0"/>
          <w:sz w:val="20"/>
        </w:rPr>
        <w:t>• src/preprocessing.py: Implements sentinel cleaning, leakage exclusion, cyclical feature engineering, and train-only scaling.</w:t>
      </w:r>
    </w:p>
    <w:p>
      <w:pPr>
        <w:spacing w:after="120" w:line="276" w:lineRule="auto"/>
      </w:pPr>
      <w:r>
        <w:rPr>
          <w:rFonts w:ascii="Arial" w:hAnsi="Arial"/>
          <w:b w:val="0"/>
          <w:i w:val="0"/>
          <w:sz w:val="20"/>
        </w:rPr>
        <w:t>• src/eda.py: Generates 9 publication-grade figures, descriptive statistics, and interactive Plotly visualization.</w:t>
      </w:r>
    </w:p>
    <w:p>
      <w:pPr>
        <w:spacing w:after="120" w:line="276" w:lineRule="auto"/>
      </w:pPr>
      <w:r>
        <w:rPr>
          <w:rFonts w:ascii="Arial" w:hAnsi="Arial"/>
          <w:b w:val="0"/>
          <w:i w:val="0"/>
          <w:sz w:val="20"/>
        </w:rPr>
        <w:t>• src/train_model.py: Compares competing MLP regression models and executes early stopping on validation loss.</w:t>
      </w:r>
    </w:p>
    <w:p>
      <w:pPr>
        <w:spacing w:after="120" w:line="276" w:lineRule="auto"/>
      </w:pPr>
      <w:r>
        <w:rPr>
          <w:rFonts w:ascii="Arial" w:hAnsi="Arial"/>
          <w:b w:val="0"/>
          <w:i w:val="0"/>
          <w:sz w:val="20"/>
        </w:rPr>
        <w:t>• src/evaluate_model.py: Executes held-out test evaluation, generates regression diagnostic charts, and computes permutation importance.</w:t>
      </w:r>
    </w:p>
    <w:p>
      <w:pPr>
        <w:spacing w:after="120" w:line="276" w:lineRule="auto"/>
      </w:pPr>
      <w:r>
        <w:rPr>
          <w:rFonts w:ascii="Arial" w:hAnsi="Arial"/>
          <w:b w:val="0"/>
          <w:i w:val="0"/>
          <w:sz w:val="20"/>
        </w:rPr>
        <w:t>• src/utils.py: Manages directory structures, random seed setting, and metric calculations.</w:t>
      </w:r>
    </w:p>
    <w:p>
      <w:pPr>
        <w:spacing w:after="120" w:line="276" w:lineRule="auto"/>
      </w:pPr>
      <w:r>
        <w:rPr>
          <w:rFonts w:ascii="Arial" w:hAnsi="Arial"/>
          <w:b w:val="0"/>
          <w:i w:val="0"/>
          <w:sz w:val="20"/>
        </w:rPr>
        <w:t>• tests/test_preprocessing.py: Automated test suite verifying data integrity and absence of data leakage.</w:t>
      </w:r>
    </w:p>
    <w:p>
      <w:pPr>
        <w:spacing w:after="120" w:line="276" w:lineRule="auto"/>
      </w:pPr>
      <w:r>
        <w:rPr>
          <w:rFonts w:ascii="Arial" w:hAnsi="Arial"/>
          <w:b w:val="0"/>
          <w:i w:val="0"/>
          <w:sz w:val="20"/>
        </w:rPr>
        <w:t>• notebooks/Air_Quality_EDA_Deep_Learning.ipynb: Fully executable end-to-end Jupyter notebook.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