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pStyle w:val="2"/>
              <w:keepNext w:val="0"/>
              <w:keepLines w:val="0"/>
              <w:widowControl/>
              <w:suppressLineNumbers w:val="0"/>
              <w:jc w:val="center"/>
              <w:rPr>
                <w:rFonts w:hint="default" w:ascii="Cantarell Extra Bold" w:hAnsi="Cantarell Extra Bold" w:cs="Cantarell Extra Bold"/>
              </w:rPr>
            </w:pPr>
            <w:r>
              <w:rPr>
                <w:rFonts w:hint="default" w:ascii="Cantarell Extra Bold" w:hAnsi="Cantarell Extra Bold" w:cs="Cantarell Extra Bold"/>
              </w:rPr>
              <w:t>Data Analysis Report</w:t>
            </w:r>
          </w:p>
          <w:p>
            <w:pPr>
              <w:pStyle w:val="2"/>
              <w:keepNext w:val="0"/>
              <w:keepLines w:val="0"/>
              <w:widowControl/>
              <w:suppressLineNumbers w:val="0"/>
              <w:jc w:val="center"/>
              <w:rPr>
                <w:rFonts w:hint="default" w:ascii="Cantarell Extra Bold" w:hAnsi="Cantarell Extra Bold" w:cs="Cantarell Extra Bold"/>
              </w:rPr>
            </w:pPr>
            <w:r>
              <w:rPr>
                <w:rFonts w:hint="default" w:ascii="Cantarell Extra Bold" w:hAnsi="Cantarell Extra Bold" w:cs="Cantarell Extra Bold"/>
              </w:rPr>
              <w:t>for Brazilian E-Commerce Public Dataset by Olist</w:t>
            </w:r>
          </w:p>
          <w:p>
            <w:pPr>
              <w:rPr>
                <w:rFonts w:hint="default" w:ascii="Cantarell Extra Bold" w:hAnsi="Cantarell Extra Bold" w:cs="Cantarell Extra Bold"/>
              </w:rPr>
            </w:pPr>
          </w:p>
        </w:tc>
      </w:tr>
    </w:tbl>
    <w:p>
      <w:pPr>
        <w:rPr>
          <w:rFonts w:hint="default" w:ascii="Cantarell Extra Bold" w:hAnsi="Cantarell Extra Bold" w:cs="Cantarell Extra Bold"/>
        </w:rPr>
        <w:sectPr>
          <w:pgSz w:w="11906" w:h="16838"/>
          <w:pgMar w:top="720" w:right="720" w:bottom="720" w:left="720" w:header="720" w:footer="720" w:gutter="0"/>
          <w:cols w:space="720" w:num="1"/>
          <w:docGrid w:linePitch="360" w:charSpace="0"/>
        </w:sectPr>
      </w:pPr>
      <w:r>
        <w:rPr>
          <w:rFonts w:hint="default" w:ascii="Cantarell Extra Bold" w:hAnsi="Cantarell Extra Bold" w:cs="Cantarell Extra Bold"/>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4305" cy="10013315"/>
            <wp:effectExtent l="0" t="0" r="17145" b="6985"/>
            <wp:wrapNone/>
            <wp:docPr id="1" name="Picture 2" descr="未标题-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未标题-1副本"/>
                    <pic:cNvPicPr>
                      <a:picLocks noChangeAspect="1"/>
                    </pic:cNvPicPr>
                  </pic:nvPicPr>
                  <pic:blipFill>
                    <a:blip r:embed="rId4"/>
                    <a:stretch>
                      <a:fillRect/>
                    </a:stretch>
                  </pic:blipFill>
                  <pic:spPr>
                    <a:xfrm>
                      <a:off x="0" y="0"/>
                      <a:ext cx="7774305" cy="10013315"/>
                    </a:xfrm>
                    <a:prstGeom prst="rect">
                      <a:avLst/>
                    </a:prstGeom>
                    <a:noFill/>
                    <a:ln>
                      <a:noFill/>
                    </a:ln>
                  </pic:spPr>
                </pic:pic>
              </a:graphicData>
            </a:graphic>
          </wp:anchor>
        </w:drawing>
      </w:r>
    </w:p>
    <w:p>
      <w:pPr>
        <w:keepNext w:val="0"/>
        <w:keepLines w:val="0"/>
        <w:widowControl/>
        <w:suppressLineNumbers w:val="0"/>
        <w:jc w:val="left"/>
        <w:rPr>
          <w:rFonts w:hint="default" w:ascii="Cantarell Extra Bold" w:hAnsi="Cantarell Extra Bold" w:cs="Cantarell Extra Bold"/>
        </w:rPr>
      </w:pPr>
    </w:p>
    <w:p>
      <w:pPr>
        <w:keepNext w:val="0"/>
        <w:keepLines w:val="0"/>
        <w:widowControl/>
        <w:suppressLineNumbers w:val="0"/>
        <w:jc w:val="left"/>
        <w:rPr>
          <w:rFonts w:hint="default" w:ascii="Cantarell Extra Bold" w:hAnsi="Cantarell Extra Bold" w:cs="Cantarell Extra Bold"/>
        </w:rPr>
      </w:pPr>
    </w:p>
    <w:p>
      <w:pPr>
        <w:pStyle w:val="2"/>
        <w:keepNext w:val="0"/>
        <w:keepLines w:val="0"/>
        <w:widowControl/>
        <w:suppressLineNumbers w:val="0"/>
        <w:jc w:val="center"/>
        <w:rPr>
          <w:rFonts w:hint="default" w:ascii="Cantarell Extra Bold" w:hAnsi="Cantarell Extra Bold" w:cs="Cantarell Extra Bold"/>
        </w:rPr>
      </w:pPr>
      <w:r>
        <w:rPr>
          <w:rFonts w:hint="default" w:ascii="Cantarell Extra Bold" w:hAnsi="Cantarell Extra Bold" w:cs="Cantarell Extra Bold"/>
        </w:rPr>
        <w:t>Data Analysis Report for Brazilian E-Commerce Public Dataset by Olist</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We are pleased to present this comprehensive visualization report based on the Power BI analysis of your e-commerce data, as detailed in the provided PDF. This report summarizes key insights from the Financial Overview, Order Breakdown, Delivery Insights, and Advanced Insights sections, covering the period from January 2017 to July 2018 (with some data extending back to September 2016). Below, we outline the findings from each section and provide actionable recommendations to support your business objectives.</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t>1. Financial Overview</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The Financial Overview section summarizes your core financial metrics and trends, offering a snapshot of revenue performance over time.</w:t>
      </w:r>
    </w:p>
    <w:p>
      <w:pPr>
        <w:keepNext w:val="0"/>
        <w:keepLines w:val="0"/>
        <w:widowControl/>
        <w:numPr>
          <w:ilvl w:val="0"/>
          <w:numId w:val="1"/>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Key Metrics</w:t>
      </w:r>
      <w:r>
        <w:rPr>
          <w:rFonts w:hint="default" w:ascii="Cantarell Extra Bold" w:hAnsi="Cantarell Extra Bold" w:cs="Cantarell Extra Bold"/>
        </w:rPr>
        <w:t xml:space="preserve">: </w:t>
      </w:r>
    </w:p>
    <w:p>
      <w:pPr>
        <w:keepNext w:val="0"/>
        <w:keepLines w:val="0"/>
        <w:widowControl/>
        <w:numPr>
          <w:ilvl w:val="1"/>
          <w:numId w:val="1"/>
        </w:numPr>
        <w:suppressLineNumbers w:val="0"/>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Revenue Reconciliation</w:t>
      </w:r>
      <w:r>
        <w:rPr>
          <w:rFonts w:hint="default" w:ascii="Cantarell Extra Bold" w:hAnsi="Cantarell Extra Bold" w:cs="Cantarell Extra Bold"/>
        </w:rPr>
        <w:t>: 2.16K, reflecting adjustments between expected and actual revenue.</w:t>
      </w:r>
    </w:p>
    <w:p>
      <w:pPr>
        <w:keepNext w:val="0"/>
        <w:keepLines w:val="0"/>
        <w:widowControl/>
        <w:numPr>
          <w:ilvl w:val="1"/>
          <w:numId w:val="1"/>
        </w:numPr>
        <w:suppressLineNumbers w:val="0"/>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Total Payments Received</w:t>
      </w:r>
      <w:r>
        <w:rPr>
          <w:rFonts w:hint="default" w:ascii="Cantarell Extra Bold" w:hAnsi="Cantarell Extra Bold" w:cs="Cantarell Extra Bold"/>
        </w:rPr>
        <w:t>: 19.88M, indicating strong cash inflows.</w:t>
      </w:r>
    </w:p>
    <w:p>
      <w:pPr>
        <w:keepNext w:val="0"/>
        <w:keepLines w:val="0"/>
        <w:widowControl/>
        <w:numPr>
          <w:ilvl w:val="1"/>
          <w:numId w:val="1"/>
        </w:numPr>
        <w:suppressLineNumbers w:val="0"/>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Total Revenue</w:t>
      </w:r>
      <w:r>
        <w:rPr>
          <w:rFonts w:hint="default" w:ascii="Cantarell Extra Bold" w:hAnsi="Cantarell Extra Bold" w:cs="Cantarell Extra Bold"/>
        </w:rPr>
        <w:t>: 16.19M, representing revenue earned during the period.</w:t>
      </w:r>
    </w:p>
    <w:p>
      <w:pPr>
        <w:keepNext w:val="0"/>
        <w:keepLines w:val="0"/>
        <w:widowControl/>
        <w:numPr>
          <w:ilvl w:val="0"/>
          <w:numId w:val="1"/>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Revenue Trends</w:t>
      </w:r>
      <w:r>
        <w:rPr>
          <w:rFonts w:hint="default" w:ascii="Cantarell Extra Bold" w:hAnsi="Cantarell Extra Bold" w:cs="Cantarell Extra Bold"/>
        </w:rP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 xml:space="preserve">A line chart compares </w:t>
      </w:r>
      <w:r>
        <w:rPr>
          <w:rStyle w:val="9"/>
          <w:rFonts w:hint="default" w:ascii="Cantarell Extra Bold" w:hAnsi="Cantarell Extra Bold" w:cs="Cantarell Extra Bold"/>
        </w:rPr>
        <w:t>Total Revenue</w:t>
      </w:r>
      <w:r>
        <w:rPr>
          <w:rFonts w:hint="default" w:ascii="Cantarell Extra Bold" w:hAnsi="Cantarell Extra Bold" w:cs="Cantarell Extra Bold"/>
        </w:rPr>
        <w:t xml:space="preserve"> (dark red line) and </w:t>
      </w:r>
      <w:r>
        <w:rPr>
          <w:rStyle w:val="9"/>
          <w:rFonts w:hint="default" w:ascii="Cantarell Extra Bold" w:hAnsi="Cantarell Extra Bold" w:cs="Cantarell Extra Bold"/>
        </w:rPr>
        <w:t>Expected Revenue</w:t>
      </w:r>
      <w:r>
        <w:rPr>
          <w:rFonts w:hint="default" w:ascii="Cantarell Extra Bold" w:hAnsi="Cantarell Extra Bold" w:cs="Cantarell Extra Bold"/>
        </w:rPr>
        <w:t xml:space="preserve"> (orange line) from January 2017 to July 2018.</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Total revenue increased steadily from January 2017, peaking at approximately 1.0M around July 2017, followed by fluctuations and a decline by July 2018.</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Expected revenue mirrored this trend but remained slightly below or equal to total revenue, also dropping by mid-2018.</w:t>
      </w:r>
    </w:p>
    <w:p>
      <w:pPr>
        <w:keepNext w:val="0"/>
        <w:keepLines w:val="0"/>
        <w:widowControl/>
        <w:numPr>
          <w:ilvl w:val="0"/>
          <w:numId w:val="1"/>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Insight</w:t>
      </w:r>
      <w:r>
        <w:rPr>
          <w:rFonts w:hint="default" w:ascii="Cantarell Extra Bold" w:hAnsi="Cantarell Extra Bold" w:cs="Cantarell Extra Bold"/>
        </w:rPr>
        <w:t>: The financial performance was robust in 2017, with payments received exceeding total revenue, possibly due to timing differences. However, the sharp decline in both total and expected revenue in 2018 suggests potential market or operational challenges that require further investigation.</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t>2. Order Breakdown</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The Order Breakdown section analyzes order trends, including total orders, status distribution, and average order value, providing insights into customer demand and fulfillment efficiency.</w:t>
      </w:r>
    </w:p>
    <w:p>
      <w:pPr>
        <w:keepNext w:val="0"/>
        <w:keepLines w:val="0"/>
        <w:widowControl/>
        <w:numPr>
          <w:ilvl w:val="0"/>
          <w:numId w:val="3"/>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Key Metrics</w:t>
      </w:r>
      <w:r>
        <w:rPr>
          <w:rFonts w:hint="default" w:ascii="Cantarell Extra Bold" w:hAnsi="Cantarell Extra Bold" w:cs="Cantarell Extra Bold"/>
        </w:rP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Average Order Value</w:t>
      </w:r>
      <w:r>
        <w:rPr>
          <w:rFonts w:hint="default" w:ascii="Cantarell Extra Bold" w:hAnsi="Cantarell Extra Bold" w:cs="Cantarell Extra Bold"/>
        </w:rPr>
        <w:t>: R$3,023.7K, reflecting a significant per-order value.</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Order Status Distribution</w:t>
      </w:r>
      <w:r>
        <w:rPr>
          <w:rFonts w:hint="default" w:ascii="Cantarell Extra Bold" w:hAnsi="Cantarell Extra Bold" w:cs="Cantarell Extra Bold"/>
        </w:rPr>
        <w:t xml:space="preserve"> (via pie chart for total order value by status): </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Delivered</w:t>
      </w:r>
      <w:r>
        <w:rPr>
          <w:rFonts w:hint="default" w:ascii="Cantarell Extra Bold" w:hAnsi="Cantarell Extra Bold" w:cs="Cantarell Extra Bold"/>
        </w:rPr>
        <w:t>: 97.27% (16.19M), the vast majority of orders.</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Shipped</w:t>
      </w:r>
      <w:r>
        <w:rPr>
          <w:rFonts w:hint="default" w:ascii="Cantarell Extra Bold" w:hAnsi="Cantarell Extra Bold" w:cs="Cantarell Extra Bold"/>
        </w:rPr>
        <w:t>: 1.17% (0.2M), a small but notable segment.</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Canceled</w:t>
      </w:r>
      <w:r>
        <w:rPr>
          <w:rFonts w:hint="default" w:ascii="Cantarell Extra Bold" w:hAnsi="Cantarell Extra Bold" w:cs="Cantarell Extra Bold"/>
        </w:rPr>
        <w:t>: 0.68% (0.11M), minimal impact.</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Fonts w:hint="default" w:ascii="Cantarell Extra Bold" w:hAnsi="Cantarell Extra Bold" w:cs="Cantarell Extra Bold"/>
        </w:rPr>
        <w:t>Other statuses (processing, invoiced, unavailable, approved) have negligible contributions.</w:t>
      </w:r>
    </w:p>
    <w:p>
      <w:pPr>
        <w:keepNext w:val="0"/>
        <w:keepLines w:val="0"/>
        <w:widowControl/>
        <w:numPr>
          <w:ilvl w:val="0"/>
          <w:numId w:val="3"/>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Order Trends</w:t>
      </w:r>
      <w:r>
        <w:rPr>
          <w:rFonts w:hint="default" w:ascii="Cantarell Extra Bold" w:hAnsi="Cantarell Extra Bold" w:cs="Cantarell Extra Bold"/>
        </w:rPr>
        <w:t xml:space="preserve">: </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 xml:space="preserve">A bar chart of </w:t>
      </w:r>
      <w:r>
        <w:rPr>
          <w:rStyle w:val="9"/>
          <w:rFonts w:hint="default" w:ascii="Cantarell Extra Bold" w:hAnsi="Cantarell Extra Bold" w:cs="Cantarell Extra Bold"/>
        </w:rPr>
        <w:t>Total Orders by Month</w:t>
      </w:r>
      <w:r>
        <w:rPr>
          <w:rFonts w:hint="default" w:ascii="Cantarell Extra Bold" w:hAnsi="Cantarell Extra Bold" w:cs="Cantarell Extra Bold"/>
        </w:rPr>
        <w:t xml:space="preserve"> shows a clear increase in order volume from 2016 to 2018, with peaks in 2017 and 2018 reaching up to 8,000 orders in some months.</w:t>
      </w:r>
    </w:p>
    <w:p>
      <w:pPr>
        <w:keepNext w:val="0"/>
        <w:keepLines w:val="0"/>
        <w:widowControl/>
        <w:numPr>
          <w:ilvl w:val="0"/>
          <w:numId w:val="3"/>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Insight</w:t>
      </w:r>
      <w:r>
        <w:rPr>
          <w:rFonts w:hint="default" w:ascii="Cantarell Extra Bold" w:hAnsi="Cantarell Extra Bold" w:cs="Cantarell Extra Bold"/>
        </w:rPr>
        <w:t>: The high delivery rate (97.27%) indicates strong fulfillment performance, while the growth in order volume reflects rising demand. The small percentages of shipped and canceled orders suggest minor inefficiencies that could be addressed to enhance customer satisfaction.</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t>3. Delivery Insights</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The Delivery Insights section evaluates delivery performance, focusing on late deliveries and average delay days, critical factors in customer experience.</w:t>
      </w:r>
    </w:p>
    <w:p>
      <w:pPr>
        <w:keepNext w:val="0"/>
        <w:keepLines w:val="0"/>
        <w:widowControl/>
        <w:numPr>
          <w:ilvl w:val="0"/>
          <w:numId w:val="7"/>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Key Metrics</w:t>
      </w:r>
      <w:r>
        <w:rPr>
          <w:rFonts w:hint="default" w:ascii="Cantarell Extra Bold" w:hAnsi="Cantarell Extra Bold" w:cs="Cantarell Extra Bold"/>
        </w:rPr>
        <w:t xml:space="preserve">: </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Average Delay Days</w:t>
      </w:r>
      <w:r>
        <w:rPr>
          <w:rFonts w:hint="default" w:ascii="Cantarell Extra Bold" w:hAnsi="Cantarell Extra Bold" w:cs="Cantarell Extra Bold"/>
        </w:rPr>
        <w:t>: 248.28 days, an alarmingly high figure.</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Sum of Late Deliveries by Year and Month</w:t>
      </w:r>
      <w:r>
        <w:rPr>
          <w:rFonts w:hint="default" w:ascii="Cantarell Extra Bold" w:hAnsi="Cantarell Extra Bold" w:cs="Cantarell Extra Bold"/>
        </w:rPr>
        <w:t xml:space="preserve"> (via bar chart): </w:t>
      </w:r>
    </w:p>
    <w:p>
      <w:pPr>
        <w:keepNext w:val="0"/>
        <w:keepLines w:val="0"/>
        <w:widowControl/>
        <w:numPr>
          <w:ilvl w:val="2"/>
          <w:numId w:val="9"/>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2016</w:t>
      </w:r>
      <w:r>
        <w:rPr>
          <w:rFonts w:hint="default" w:ascii="Cantarell Extra Bold" w:hAnsi="Cantarell Extra Bold" w:cs="Cantarell Extra Bold"/>
        </w:rPr>
        <w:t>: Minimal late deliveries (e.g., September and December near 0).</w:t>
      </w:r>
    </w:p>
    <w:p>
      <w:pPr>
        <w:keepNext w:val="0"/>
        <w:keepLines w:val="0"/>
        <w:widowControl/>
        <w:numPr>
          <w:ilvl w:val="2"/>
          <w:numId w:val="9"/>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2017</w:t>
      </w:r>
      <w:r>
        <w:rPr>
          <w:rFonts w:hint="default" w:ascii="Cantarell Extra Bold" w:hAnsi="Cantarell Extra Bold" w:cs="Cantarell Extra Bold"/>
        </w:rPr>
        <w:t>: Peaked at ~1,500 late deliveries in July, with high numbers in August (~1,000).</w:t>
      </w:r>
    </w:p>
    <w:p>
      <w:pPr>
        <w:keepNext w:val="0"/>
        <w:keepLines w:val="0"/>
        <w:widowControl/>
        <w:numPr>
          <w:ilvl w:val="2"/>
          <w:numId w:val="9"/>
        </w:numPr>
        <w:suppressLineNumbers w:val="0"/>
        <w:tabs>
          <w:tab w:val="left" w:pos="2160"/>
        </w:tabs>
        <w:spacing w:before="0" w:beforeAutospacing="1" w:after="0" w:afterAutospacing="1"/>
        <w:ind w:left="2160" w:hanging="360"/>
        <w:rPr>
          <w:rFonts w:hint="default" w:ascii="Cantarell Extra Bold" w:hAnsi="Cantarell Extra Bold" w:cs="Cantarell Extra Bold"/>
        </w:rPr>
      </w:pPr>
      <w:r>
        <w:rPr>
          <w:rStyle w:val="9"/>
          <w:rFonts w:hint="default" w:ascii="Cantarell Extra Bold" w:hAnsi="Cantarell Extra Bold" w:cs="Cantarell Extra Bold"/>
        </w:rPr>
        <w:t>2018</w:t>
      </w:r>
      <w:r>
        <w:rPr>
          <w:rFonts w:hint="default" w:ascii="Cantarell Extra Bold" w:hAnsi="Cantarell Extra Bold" w:cs="Cantarell Extra Bold"/>
        </w:rPr>
        <w:t>: Decreased to ~500 late deliveries, with peaks in January and February (~1,000 each).</w:t>
      </w:r>
    </w:p>
    <w:p>
      <w:pPr>
        <w:keepNext w:val="0"/>
        <w:keepLines w:val="0"/>
        <w:widowControl/>
        <w:numPr>
          <w:ilvl w:val="0"/>
          <w:numId w:val="7"/>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Insight</w:t>
      </w:r>
      <w:r>
        <w:rPr>
          <w:rFonts w:hint="default" w:ascii="Cantarell Extra Bold" w:hAnsi="Cantarell Extra Bold" w:cs="Cantarell Extra Bold"/>
        </w:rPr>
        <w:t>: The average delay of 248.28 days highlights significant inefficiencies in the delivery process, despite a reduction in late deliveries from 2017 to 2018. The peak in July 2017 suggests seasonal or operational bottlenecks that need resolution to improve timeliness.</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t>4. Advanced Insights</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The Advanced Insights section provides deeper analysis through visualizations, such as order status distribution by month, to identify trends and operational patterns.</w:t>
      </w:r>
    </w:p>
    <w:p>
      <w:pPr>
        <w:keepNext w:val="0"/>
        <w:keepLines w:val="0"/>
        <w:widowControl/>
        <w:numPr>
          <w:ilvl w:val="0"/>
          <w:numId w:val="10"/>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Key Visualization</w:t>
      </w:r>
      <w:r>
        <w:rPr>
          <w:rFonts w:hint="default" w:ascii="Cantarell Extra Bold" w:hAnsi="Cantarell Extra Bold" w:cs="Cantarell Extra Bold"/>
        </w:rPr>
        <w:t xml:space="preserve">: </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Style w:val="9"/>
          <w:rFonts w:hint="default" w:ascii="Cantarell Extra Bold" w:hAnsi="Cantarell Extra Bold" w:cs="Cantarell Extra Bold"/>
        </w:rPr>
        <w:t>Orders Status Distribution by Month</w:t>
      </w:r>
      <w:r>
        <w:rPr>
          <w:rFonts w:hint="default" w:ascii="Cantarell Extra Bold" w:hAnsi="Cantarell Extra Bold" w:cs="Cantarell Extra Bold"/>
        </w:rPr>
        <w:t>: Tracks statuses (approved, canceled, delivered, invoiced, shipped) over time, offering a granular view of fulfillment dynamics.</w:t>
      </w:r>
    </w:p>
    <w:p>
      <w:pPr>
        <w:keepNext w:val="0"/>
        <w:keepLines w:val="0"/>
        <w:widowControl/>
        <w:numPr>
          <w:ilvl w:val="0"/>
          <w:numId w:val="10"/>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Insight</w:t>
      </w:r>
      <w:r>
        <w:rPr>
          <w:rFonts w:hint="default" w:ascii="Cantarell Extra Bold" w:hAnsi="Cantarell Extra Bold" w:cs="Cantarell Extra Bold"/>
        </w:rPr>
        <w:t>: This section enables detailed tracking of order status trends, helping pinpoint bottlenecks (e.g., delays in processing or shipping) or successful periods (e.g., high delivery rates). While specific monthly data isn’t fully detailed, it supports strategic operational improvements.</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t>Recommendations</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Based on the Power BI analysis, we propose the following actions to optimize your operations:</w:t>
      </w:r>
    </w:p>
    <w:p>
      <w:pPr>
        <w:keepNext w:val="0"/>
        <w:keepLines w:val="0"/>
        <w:widowControl/>
        <w:numPr>
          <w:ilvl w:val="0"/>
          <w:numId w:val="12"/>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Investigate Revenue Decline</w:t>
      </w:r>
      <w:r>
        <w:rPr>
          <w:rFonts w:hint="default" w:ascii="Cantarell Extra Bold" w:hAnsi="Cantarell Extra Bold" w:cs="Cantarell Extra Bold"/>
        </w:rPr>
        <w:t xml:space="preserve">: </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Analyze the 2018 revenue drop (both total and expected) to identify causes—market shifts, customer churn, or internal factors—and develop mitigation strategies.</w:t>
      </w:r>
    </w:p>
    <w:p>
      <w:pPr>
        <w:keepNext w:val="0"/>
        <w:keepLines w:val="0"/>
        <w:widowControl/>
        <w:numPr>
          <w:ilvl w:val="0"/>
          <w:numId w:val="12"/>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Reduce Delivery Delays</w:t>
      </w:r>
      <w:r>
        <w:rPr>
          <w:rFonts w:hint="default" w:ascii="Cantarell Extra Bold" w:hAnsi="Cantarell Extra Bold" w:cs="Cantarell Extra Bold"/>
        </w:rPr>
        <w:t xml:space="preserve">: </w:t>
      </w:r>
    </w:p>
    <w:p>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Address the 248.28-day average delay by auditing logistics, supplier performance, and inventory management, especially targeting peak delay months like July 2017.</w:t>
      </w:r>
    </w:p>
    <w:p>
      <w:pPr>
        <w:keepNext w:val="0"/>
        <w:keepLines w:val="0"/>
        <w:widowControl/>
        <w:numPr>
          <w:ilvl w:val="0"/>
          <w:numId w:val="12"/>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Enhance Order Fulfillment</w:t>
      </w:r>
      <w:r>
        <w:rPr>
          <w:rFonts w:hint="default" w:ascii="Cantarell Extra Bold" w:hAnsi="Cantarell Extra Bold" w:cs="Cantarell Extra Bold"/>
        </w:rPr>
        <w:t xml:space="preserve">: </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Minimize canceled (0.68%) and shipped-but-not-delivered (1.17%) orders through improved inventory accuracy and faster shipping processes.</w:t>
      </w:r>
    </w:p>
    <w:p>
      <w:pPr>
        <w:keepNext w:val="0"/>
        <w:keepLines w:val="0"/>
        <w:widowControl/>
        <w:numPr>
          <w:ilvl w:val="0"/>
          <w:numId w:val="12"/>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Leverage Payment Type Insights</w:t>
      </w:r>
      <w:r>
        <w:rPr>
          <w:rFonts w:hint="default" w:ascii="Cantarell Extra Bold" w:hAnsi="Cantarell Extra Bold" w:cs="Cantarell Extra Bold"/>
        </w:rPr>
        <w:t xml:space="preserve">: </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Use the payment type filter (boleto, credit card, debit card, voucher) to identify high-performing methods and optimize payment strategies.</w:t>
      </w:r>
    </w:p>
    <w:p>
      <w:pPr>
        <w:keepNext w:val="0"/>
        <w:keepLines w:val="0"/>
        <w:widowControl/>
        <w:numPr>
          <w:ilvl w:val="0"/>
          <w:numId w:val="12"/>
        </w:numPr>
        <w:suppressLineNumbers w:val="0"/>
        <w:spacing w:before="0" w:beforeAutospacing="1" w:after="0" w:afterAutospacing="1"/>
        <w:ind w:left="720" w:hanging="360"/>
        <w:rPr>
          <w:rFonts w:hint="default" w:ascii="Cantarell Extra Bold" w:hAnsi="Cantarell Extra Bold" w:cs="Cantarell Extra Bold"/>
        </w:rPr>
      </w:pPr>
      <w:r>
        <w:rPr>
          <w:rStyle w:val="9"/>
          <w:rFonts w:hint="default" w:ascii="Cantarell Extra Bold" w:hAnsi="Cantarell Extra Bold" w:cs="Cantarell Extra Bold"/>
        </w:rPr>
        <w:t>Capitalize on Order Growth</w:t>
      </w:r>
      <w:r>
        <w:rPr>
          <w:rFonts w:hint="default" w:ascii="Cantarell Extra Bold" w:hAnsi="Cantarell Extra Bold" w:cs="Cantarell Extra Bold"/>
        </w:rPr>
        <w:t xml:space="preserve">: </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ntarell Extra Bold" w:hAnsi="Cantarell Extra Bold" w:cs="Cantarell Extra Bold"/>
        </w:rPr>
      </w:pPr>
      <w:r>
        <w:rPr>
          <w:rFonts w:hint="default" w:ascii="Cantarell Extra Bold" w:hAnsi="Cantarell Extra Bold" w:cs="Cantarell Extra Bold"/>
        </w:rPr>
        <w:t>Scale operations to sustain the upward trend in total orders (peaking at 8,000/month), ensuring capacity aligns with demand.</w:t>
      </w:r>
    </w:p>
    <w:p>
      <w:pPr>
        <w:keepNext w:val="0"/>
        <w:keepLines w:val="0"/>
        <w:widowControl/>
        <w:suppressLineNumbers w:val="0"/>
        <w:rPr>
          <w:rFonts w:hint="default" w:ascii="Cantarell Extra Bold" w:hAnsi="Cantarell Extra Bold" w:cs="Cantarell Extra Bold"/>
        </w:rPr>
      </w:pPr>
      <w:r>
        <w:rPr>
          <w:rFonts w:hint="default" w:ascii="Cantarell Extra Bold" w:hAnsi="Cantarell Extra Bold" w:cs="Cantarell Extra Bold"/>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center"/>
        <w:rPr>
          <w:rFonts w:hint="default" w:ascii="Cantarell Extra Bold" w:hAnsi="Cantarell Extra Bold" w:cs="Cantarell Extra Bold"/>
        </w:rPr>
      </w:pPr>
      <w:r>
        <w:rPr>
          <w:rFonts w:hint="default" w:ascii="Cantarell Extra Bold" w:hAnsi="Cantarell Extra Bold" w:cs="Cantarell Extra Bold"/>
        </w:rPr>
        <w:t>Conclusion</w:t>
      </w:r>
    </w:p>
    <w:p>
      <w:pPr>
        <w:pStyle w:val="8"/>
        <w:keepNext w:val="0"/>
        <w:keepLines w:val="0"/>
        <w:widowControl/>
        <w:suppressLineNumbers w:val="0"/>
        <w:spacing w:before="0" w:beforeAutospacing="1" w:after="0" w:afterAutospacing="1"/>
        <w:ind w:left="0" w:right="0"/>
        <w:jc w:val="center"/>
        <w:rPr>
          <w:rFonts w:hint="default" w:ascii="Cantarell Extra Bold" w:hAnsi="Cantarell Extra Bold" w:cs="Cantarell Extra Bold"/>
        </w:rPr>
      </w:pPr>
      <w:r>
        <w:rPr>
          <w:rFonts w:hint="default" w:ascii="Cantarell Extra Bold" w:hAnsi="Cantarell Extra Bold" w:cs="Cantarell Extra Bold"/>
        </w:rPr>
        <w:t>This visualization report offers a holistic view of your financial performance, order trends, and delivery efficiency from January 2017 to July 2018. Key strengths include strong revenue in 2017 and a high delivery rate (97.27%), while challenges like the 2018 revenue decline and significant delivery delays require attention. By acting on the recommendations—particularly addressing delays and investigating revenue trends—you can enhance operational efficiency and customer satisfaction.</w:t>
      </w:r>
    </w:p>
    <w:p>
      <w:pPr>
        <w:pStyle w:val="8"/>
        <w:keepNext w:val="0"/>
        <w:keepLines w:val="0"/>
        <w:widowControl/>
        <w:suppressLineNumbers w:val="0"/>
        <w:spacing w:before="0" w:beforeAutospacing="1" w:after="0" w:afterAutospacing="1"/>
        <w:ind w:left="0" w:right="0"/>
        <w:jc w:val="center"/>
        <w:rPr>
          <w:rFonts w:hint="default" w:ascii="Cantarell Extra Bold" w:hAnsi="Cantarell Extra Bold" w:cs="Cantarell Extra Bold"/>
        </w:rPr>
      </w:pPr>
      <w:r>
        <w:rPr>
          <w:rFonts w:hint="default" w:ascii="Cantarell Extra Bold" w:hAnsi="Cantarell Extra Bold" w:cs="Cantarell Extra Bold"/>
        </w:rPr>
        <w:t>We are available to provide further analysis, dive deeper into specific areas, or address any questions you may have. Thank you for trusting us with your data insights.</w:t>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rPr>
      </w:pPr>
      <w:r>
        <w:rPr>
          <w:rFonts w:hint="default" w:ascii="Cantarell Extra Bold" w:hAnsi="Cantarell Extra Bold" w:cs="Cantarell Extra Bold"/>
        </w:rPr>
        <w:t>Best regards,</w:t>
      </w:r>
      <w:r>
        <w:rPr>
          <w:rFonts w:hint="default" w:ascii="Cantarell Extra Bold" w:hAnsi="Cantarell Extra Bold" w:cs="Cantarell Extra Bold"/>
        </w:rPr>
        <w:br w:type="textWrapping"/>
      </w:r>
      <w:bookmarkStart w:id="0" w:name="_GoBack"/>
      <w:bookmarkEnd w:id="0"/>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color w:val="00B0F0"/>
          <w:lang w:val="en-US" w:bidi="ar-SA"/>
        </w:rPr>
      </w:pPr>
      <w:r>
        <w:rPr>
          <w:rFonts w:hint="default" w:ascii="Cantarell Extra Bold" w:hAnsi="Cantarell Extra Bold" w:cs="Cantarell Extra Bold"/>
          <w:color w:val="00B0F0"/>
          <w:lang w:val="en-US" w:bidi="ar-SA"/>
        </w:rPr>
        <w:fldChar w:fldCharType="begin"/>
      </w:r>
      <w:r>
        <w:rPr>
          <w:rFonts w:hint="default" w:ascii="Cantarell Extra Bold" w:hAnsi="Cantarell Extra Bold" w:cs="Cantarell Extra Bold"/>
          <w:color w:val="00B0F0"/>
          <w:lang w:val="en-US" w:bidi="ar-SA"/>
        </w:rPr>
        <w:instrText xml:space="preserve"> HYPERLINK "peteradel.netlify.app" </w:instrText>
      </w:r>
      <w:r>
        <w:rPr>
          <w:rFonts w:hint="default" w:ascii="Cantarell Extra Bold" w:hAnsi="Cantarell Extra Bold" w:cs="Cantarell Extra Bold"/>
          <w:color w:val="00B0F0"/>
          <w:lang w:val="en-US" w:bidi="ar-SA"/>
        </w:rPr>
        <w:fldChar w:fldCharType="separate"/>
      </w:r>
      <w:r>
        <w:rPr>
          <w:rStyle w:val="7"/>
          <w:rFonts w:hint="default" w:ascii="Cantarell Extra Bold" w:hAnsi="Cantarell Extra Bold" w:cs="Cantarell Extra Bold"/>
          <w:color w:val="00B0F0"/>
          <w:lang w:val="en-US" w:bidi="ar-SA"/>
        </w:rPr>
        <w:t>Peter_Adel</w:t>
      </w:r>
      <w:r>
        <w:rPr>
          <w:rFonts w:hint="default" w:ascii="Cantarell Extra Bold" w:hAnsi="Cantarell Extra Bold" w:cs="Cantarell Extra Bold"/>
          <w:color w:val="00B0F0"/>
          <w:lang w:val="en-US" w:bidi="ar-SA"/>
        </w:rPr>
        <w:fldChar w:fldCharType="end"/>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color w:val="00B0F0"/>
          <w:lang w:val="en-US" w:bidi="ar-SA"/>
        </w:rPr>
      </w:pPr>
      <w:r>
        <w:rPr>
          <w:rFonts w:hint="default" w:ascii="Cantarell Extra Bold" w:hAnsi="Cantarell Extra Bold" w:cs="Cantarell Extra Bold"/>
          <w:color w:val="00B0F0"/>
          <w:lang w:val="en-US" w:bidi="ar-SA"/>
        </w:rPr>
        <w:fldChar w:fldCharType="begin"/>
      </w:r>
      <w:r>
        <w:rPr>
          <w:rFonts w:hint="default" w:ascii="Cantarell Extra Bold" w:hAnsi="Cantarell Extra Bold" w:cs="Cantarell Extra Bold"/>
          <w:color w:val="00B0F0"/>
          <w:lang w:val="en-US" w:bidi="ar-SA"/>
        </w:rPr>
        <w:instrText xml:space="preserve"> HYPERLINK "peteradel.netlify.app" </w:instrText>
      </w:r>
      <w:r>
        <w:rPr>
          <w:rFonts w:hint="default" w:ascii="Cantarell Extra Bold" w:hAnsi="Cantarell Extra Bold" w:cs="Cantarell Extra Bold"/>
          <w:color w:val="00B0F0"/>
          <w:lang w:val="en-US" w:bidi="ar-SA"/>
        </w:rPr>
        <w:fldChar w:fldCharType="separate"/>
      </w:r>
      <w:r>
        <w:rPr>
          <w:rStyle w:val="7"/>
          <w:rFonts w:hint="default" w:ascii="Cantarell Extra Bold" w:hAnsi="Cantarell Extra Bold" w:cs="Cantarell Extra Bold"/>
          <w:color w:val="00B0F0"/>
          <w:lang w:val="en-US" w:bidi="ar-SA"/>
        </w:rPr>
        <w:t>peteradel.netlify.app</w:t>
      </w:r>
      <w:r>
        <w:rPr>
          <w:rFonts w:hint="default" w:ascii="Cantarell Extra Bold" w:hAnsi="Cantarell Extra Bold" w:cs="Cantarell Extra Bold"/>
          <w:color w:val="00B0F0"/>
          <w:lang w:val="en-US" w:bidi="ar-SA"/>
        </w:rPr>
        <w:fldChar w:fldCharType="end"/>
      </w: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lang w:val="en-US" w:bidi="ar-SA"/>
        </w:rPr>
      </w:pPr>
    </w:p>
    <w:p>
      <w:pPr>
        <w:pStyle w:val="8"/>
        <w:keepNext w:val="0"/>
        <w:keepLines w:val="0"/>
        <w:widowControl/>
        <w:suppressLineNumbers w:val="0"/>
        <w:spacing w:before="0" w:beforeAutospacing="1" w:after="0" w:afterAutospacing="1"/>
        <w:ind w:left="0" w:right="0"/>
        <w:rPr>
          <w:rFonts w:hint="default" w:ascii="Cantarell Extra Bold" w:hAnsi="Cantarell Extra Bold" w:cs="Cantarell Extra Bold"/>
          <w:lang w:val="en-US" w:bidi="ar-SA"/>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ntarell Extra Bold">
    <w:panose1 w:val="00000000000000000000"/>
    <w:charset w:val="00"/>
    <w:family w:val="auto"/>
    <w:pitch w:val="default"/>
    <w:sig w:usb0="E00002FF" w:usb1="4000217B" w:usb2="00000000" w:usb3="00000000" w:csb0="2000019F" w:csb1="00000000"/>
  </w:font>
  <w:font w:name="Symbol">
    <w:altName w:val="Quicksand Light"/>
    <w:panose1 w:val="00000000000000000000"/>
    <w:charset w:val="00"/>
    <w:family w:val="auto"/>
    <w:pitch w:val="default"/>
    <w:sig w:usb0="00000000" w:usb1="00000000" w:usb2="00000000" w:usb3="00000000" w:csb0="00040001" w:csb1="00000000"/>
  </w:font>
  <w:font w:name="Quicksand Light">
    <w:panose1 w:val="00000400000000000000"/>
    <w:charset w:val="00"/>
    <w:family w:val="auto"/>
    <w:pitch w:val="default"/>
    <w:sig w:usb0="2000000F" w:usb1="00000001" w:usb2="00000000" w:usb3="00000000" w:csb0="20000193" w:csb1="00000000"/>
  </w:font>
  <w:font w:name="FreeMono">
    <w:panose1 w:val="000F0409020205020404"/>
    <w:charset w:val="00"/>
    <w:family w:val="auto"/>
    <w:pitch w:val="default"/>
    <w:sig w:usb0="E400AEFF" w:usb1="C240FFFF" w:usb2="08249029" w:usb3="00100008" w:csb0="600001FF" w:csb1="FFFF0000"/>
  </w:font>
  <w:font w:name="Lato Black">
    <w:panose1 w:val="020F0502020204030203"/>
    <w:charset w:val="00"/>
    <w:family w:val="auto"/>
    <w:pitch w:val="default"/>
    <w:sig w:usb0="E10002FF" w:usb1="5000ECFF" w:usb2="00000021" w:usb3="00000000" w:csb0="2000019F" w:csb1="00000000"/>
  </w:font>
  <w:font w:name="Fira Code Medium">
    <w:panose1 w:val="00000000000000000000"/>
    <w:charset w:val="00"/>
    <w:family w:val="auto"/>
    <w:pitch w:val="default"/>
    <w:sig w:usb0="E00002EF" w:usb1="1201F9FB" w:usb2="0200203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E969F"/>
    <w:multiLevelType w:val="multilevel"/>
    <w:tmpl w:val="BEFE9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C71BDE"/>
    <w:multiLevelType w:val="multilevel"/>
    <w:tmpl w:val="EBC71B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FFC8AF"/>
    <w:multiLevelType w:val="multilevel"/>
    <w:tmpl w:val="EFFFC8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ECC50E"/>
    <w:multiLevelType w:val="multilevel"/>
    <w:tmpl w:val="F3ECC5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EDD02A4"/>
    <w:multiLevelType w:val="multilevel"/>
    <w:tmpl w:val="FEDD0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A9EEDAF3"/>
    <w:rsid w:val="EDFC0ADD"/>
    <w:rsid w:val="FDF34F11"/>
    <w:rsid w:val="FFBFD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basedOn w:val="1"/>
    <w:qFormat/>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2018-07-11T11:11:00Z</dcterms:created>
  <dc:creator>d</dc:creator>
  <cp:lastModifiedBy>okal</cp:lastModifiedBy>
  <dcterms:modified xsi:type="dcterms:W3CDTF">2025-03-05T16:59:16Z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