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CB1CA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mc:AlternateContent>
          <mc:Choice Requires="wps">
            <w:drawing>
              <wp:anchor distT="0" distB="0" distL="114300" distR="114300" simplePos="0" relativeHeight="251661312" behindDoc="0" locked="0" layoutInCell="1" allowOverlap="1" wp14:anchorId="20621186" wp14:editId="6D4717B2">
                <wp:simplePos x="0" y="0"/>
                <wp:positionH relativeFrom="margin">
                  <wp:posOffset>91913</wp:posOffset>
                </wp:positionH>
                <wp:positionV relativeFrom="paragraph">
                  <wp:posOffset>5715</wp:posOffset>
                </wp:positionV>
                <wp:extent cx="5326912" cy="4065105"/>
                <wp:effectExtent l="0" t="0" r="26670" b="12065"/>
                <wp:wrapNone/>
                <wp:docPr id="9" name="Vertical Scroll 9"/>
                <wp:cNvGraphicFramePr/>
                <a:graphic xmlns:a="http://schemas.openxmlformats.org/drawingml/2006/main">
                  <a:graphicData uri="http://schemas.microsoft.com/office/word/2010/wordprocessingShape">
                    <wps:wsp>
                      <wps:cNvSpPr/>
                      <wps:spPr>
                        <a:xfrm>
                          <a:off x="0" y="0"/>
                          <a:ext cx="5326912" cy="4065105"/>
                        </a:xfrm>
                        <a:prstGeom prst="verticalScroll">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rsidR="00104FC1" w:rsidRPr="00F23518" w:rsidRDefault="00F23518" w:rsidP="00196451">
                            <w:pPr>
                              <w:spacing w:before="100" w:beforeAutospacing="1" w:after="100" w:afterAutospacing="1" w:line="240" w:lineRule="auto"/>
                              <w:jc w:val="center"/>
                              <w:rPr>
                                <w:rFonts w:ascii="Stencil" w:eastAsia="Times New Roman" w:hAnsi="Stencil" w:cs="Times New Roman"/>
                                <w:b/>
                                <w:bCs/>
                                <w:color w:val="BF8F00" w:themeColor="accent4" w:themeShade="BF"/>
                                <w:sz w:val="56"/>
                                <w:szCs w:val="56"/>
                              </w:rPr>
                            </w:pPr>
                            <w:r w:rsidRPr="00F23518">
                              <w:rPr>
                                <w:rFonts w:ascii="Stencil" w:eastAsia="Times New Roman" w:hAnsi="Stencil" w:cs="Times New Roman"/>
                                <w:b/>
                                <w:bCs/>
                                <w:color w:val="BF8F00" w:themeColor="accent4" w:themeShade="BF"/>
                                <w:sz w:val="56"/>
                                <w:szCs w:val="56"/>
                              </w:rPr>
                              <w:t>Five Forces</w:t>
                            </w:r>
                            <w:r w:rsidR="00EC6FE9" w:rsidRPr="00F23518">
                              <w:rPr>
                                <w:rFonts w:ascii="Stencil" w:eastAsia="Times New Roman" w:hAnsi="Stencil" w:cs="Times New Roman" w:hint="cs"/>
                                <w:b/>
                                <w:bCs/>
                                <w:color w:val="BF8F00" w:themeColor="accent4" w:themeShade="BF"/>
                                <w:sz w:val="56"/>
                                <w:szCs w:val="56"/>
                                <w:rtl/>
                              </w:rPr>
                              <w:t xml:space="preserve"> </w:t>
                            </w:r>
                            <w:r w:rsidR="00196451" w:rsidRPr="00F23518">
                              <w:rPr>
                                <w:rFonts w:ascii="Stencil" w:eastAsia="Times New Roman" w:hAnsi="Stencil" w:cs="Times New Roman"/>
                                <w:b/>
                                <w:bCs/>
                                <w:color w:val="BF8F00" w:themeColor="accent4" w:themeShade="BF"/>
                                <w:sz w:val="56"/>
                                <w:szCs w:val="56"/>
                              </w:rPr>
                              <w:t xml:space="preserve">Analysis </w:t>
                            </w:r>
                          </w:p>
                          <w:p w:rsidR="00104FC1" w:rsidRPr="00F23518" w:rsidRDefault="00104FC1" w:rsidP="00104FC1">
                            <w:pPr>
                              <w:spacing w:before="100" w:beforeAutospacing="1" w:after="100" w:afterAutospacing="1" w:line="240" w:lineRule="auto"/>
                              <w:jc w:val="center"/>
                              <w:rPr>
                                <w:rFonts w:ascii="Times New Roman" w:eastAsia="Times New Roman" w:hAnsi="Times New Roman" w:cs="Times New Roman"/>
                                <w:color w:val="BF8F00" w:themeColor="accent4" w:themeShade="BF"/>
                                <w:sz w:val="48"/>
                                <w:szCs w:val="48"/>
                              </w:rPr>
                            </w:pPr>
                            <w:r w:rsidRPr="00F23518">
                              <w:rPr>
                                <w:rFonts w:ascii="Times New Roman" w:eastAsia="Times New Roman" w:hAnsi="Times New Roman" w:cs="Times New Roman"/>
                                <w:b/>
                                <w:bCs/>
                                <w:color w:val="BF8F00" w:themeColor="accent4" w:themeShade="BF"/>
                                <w:sz w:val="48"/>
                                <w:szCs w:val="48"/>
                              </w:rPr>
                              <w:t xml:space="preserve"> </w:t>
                            </w:r>
                            <w:r w:rsidRPr="00F23518">
                              <w:rPr>
                                <w:rFonts w:ascii="Times New Roman" w:eastAsia="Times New Roman" w:hAnsi="Times New Roman" w:cs="Times New Roman"/>
                                <w:color w:val="BF8F00" w:themeColor="accent4" w:themeShade="BF"/>
                                <w:sz w:val="40"/>
                                <w:szCs w:val="40"/>
                              </w:rPr>
                              <w:t>Report for Human Resources</w:t>
                            </w:r>
                          </w:p>
                          <w:p w:rsidR="00104FC1" w:rsidRPr="00196451" w:rsidRDefault="00104FC1" w:rsidP="00104FC1">
                            <w:pPr>
                              <w:jc w:val="center"/>
                              <w:rPr>
                                <w:color w:val="7030A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11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7.25pt;margin-top:.45pt;width:419.45pt;height:32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" fillcolor="white [3201]" strokecolor="#bf8f00 [2407]" strokeweight="1pt">
                <v:stroke joinstyle="miter"/>
                <v:textbox>
                  <w:txbxContent>
                    <w:p w:rsidR="00104FC1" w:rsidRPr="00F23518" w:rsidRDefault="00F23518" w:rsidP="00196451">
                      <w:pPr>
                        <w:spacing w:before="100" w:beforeAutospacing="1" w:after="100" w:afterAutospacing="1" w:line="240" w:lineRule="auto"/>
                        <w:jc w:val="center"/>
                        <w:rPr>
                          <w:rFonts w:ascii="Stencil" w:eastAsia="Times New Roman" w:hAnsi="Stencil" w:cs="Times New Roman"/>
                          <w:b/>
                          <w:bCs/>
                          <w:color w:val="BF8F00" w:themeColor="accent4" w:themeShade="BF"/>
                          <w:sz w:val="56"/>
                          <w:szCs w:val="56"/>
                        </w:rPr>
                      </w:pPr>
                      <w:r w:rsidRPr="00F23518">
                        <w:rPr>
                          <w:rFonts w:ascii="Stencil" w:eastAsia="Times New Roman" w:hAnsi="Stencil" w:cs="Times New Roman"/>
                          <w:b/>
                          <w:bCs/>
                          <w:color w:val="BF8F00" w:themeColor="accent4" w:themeShade="BF"/>
                          <w:sz w:val="56"/>
                          <w:szCs w:val="56"/>
                        </w:rPr>
                        <w:t>Five Forces</w:t>
                      </w:r>
                      <w:r w:rsidR="00EC6FE9" w:rsidRPr="00F23518">
                        <w:rPr>
                          <w:rFonts w:ascii="Stencil" w:eastAsia="Times New Roman" w:hAnsi="Stencil" w:cs="Times New Roman" w:hint="cs"/>
                          <w:b/>
                          <w:bCs/>
                          <w:color w:val="BF8F00" w:themeColor="accent4" w:themeShade="BF"/>
                          <w:sz w:val="56"/>
                          <w:szCs w:val="56"/>
                          <w:rtl/>
                        </w:rPr>
                        <w:t xml:space="preserve"> </w:t>
                      </w:r>
                      <w:r w:rsidR="00196451" w:rsidRPr="00F23518">
                        <w:rPr>
                          <w:rFonts w:ascii="Stencil" w:eastAsia="Times New Roman" w:hAnsi="Stencil" w:cs="Times New Roman"/>
                          <w:b/>
                          <w:bCs/>
                          <w:color w:val="BF8F00" w:themeColor="accent4" w:themeShade="BF"/>
                          <w:sz w:val="56"/>
                          <w:szCs w:val="56"/>
                        </w:rPr>
                        <w:t xml:space="preserve">Analysis </w:t>
                      </w:r>
                    </w:p>
                    <w:p w:rsidR="00104FC1" w:rsidRPr="00F23518" w:rsidRDefault="00104FC1" w:rsidP="00104FC1">
                      <w:pPr>
                        <w:spacing w:before="100" w:beforeAutospacing="1" w:after="100" w:afterAutospacing="1" w:line="240" w:lineRule="auto"/>
                        <w:jc w:val="center"/>
                        <w:rPr>
                          <w:rFonts w:ascii="Times New Roman" w:eastAsia="Times New Roman" w:hAnsi="Times New Roman" w:cs="Times New Roman"/>
                          <w:color w:val="BF8F00" w:themeColor="accent4" w:themeShade="BF"/>
                          <w:sz w:val="48"/>
                          <w:szCs w:val="48"/>
                        </w:rPr>
                      </w:pPr>
                      <w:r w:rsidRPr="00F23518">
                        <w:rPr>
                          <w:rFonts w:ascii="Times New Roman" w:eastAsia="Times New Roman" w:hAnsi="Times New Roman" w:cs="Times New Roman"/>
                          <w:b/>
                          <w:bCs/>
                          <w:color w:val="BF8F00" w:themeColor="accent4" w:themeShade="BF"/>
                          <w:sz w:val="48"/>
                          <w:szCs w:val="48"/>
                        </w:rPr>
                        <w:t xml:space="preserve"> </w:t>
                      </w:r>
                      <w:r w:rsidRPr="00F23518">
                        <w:rPr>
                          <w:rFonts w:ascii="Times New Roman" w:eastAsia="Times New Roman" w:hAnsi="Times New Roman" w:cs="Times New Roman"/>
                          <w:color w:val="BF8F00" w:themeColor="accent4" w:themeShade="BF"/>
                          <w:sz w:val="40"/>
                          <w:szCs w:val="40"/>
                        </w:rPr>
                        <w:t>Report for Human Resources</w:t>
                      </w:r>
                    </w:p>
                    <w:p w:rsidR="00104FC1" w:rsidRPr="00196451" w:rsidRDefault="00104FC1" w:rsidP="00104FC1">
                      <w:pPr>
                        <w:jc w:val="center"/>
                        <w:rPr>
                          <w:color w:val="7030A0"/>
                        </w:rP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F23518"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Pr>
        <w:drawing>
          <wp:anchor distT="0" distB="0" distL="114300" distR="114300" simplePos="0" relativeHeight="251680768" behindDoc="1" locked="0" layoutInCell="1" allowOverlap="1" wp14:anchorId="59B26D05" wp14:editId="2D0D2D0A">
            <wp:simplePos x="0" y="0"/>
            <wp:positionH relativeFrom="margin">
              <wp:posOffset>1153160</wp:posOffset>
            </wp:positionH>
            <wp:positionV relativeFrom="paragraph">
              <wp:posOffset>736600</wp:posOffset>
            </wp:positionV>
            <wp:extent cx="3274060" cy="155130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ESTLE Analysis Templates and Actionable Guide - AIH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74060" cy="155130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hint="cs"/>
          <w:b/>
          <w:bCs/>
          <w:color w:val="348F9A"/>
          <w:kern w:val="24"/>
          <w:sz w:val="56"/>
          <w:szCs w:val="56"/>
          <w:u w:val="single"/>
          <w:rtl/>
          <w:lang w:bidi="ar-EG"/>
        </w:rPr>
      </w:pPr>
    </w:p>
    <w:p w:rsidR="00B634BE" w:rsidRDefault="00B634BE" w:rsidP="00EC6FE9">
      <w:pPr>
        <w:pStyle w:val="NormalWeb"/>
        <w:spacing w:before="0" w:beforeAutospacing="0" w:after="0" w:afterAutospacing="0"/>
        <w:rPr>
          <w:rFonts w:asciiTheme="minorHAnsi" w:eastAsiaTheme="minorEastAsia" w:hAnsi="Calibri" w:cstheme="minorBidi"/>
          <w:b/>
          <w:bCs/>
          <w:color w:val="348F9A"/>
          <w:kern w:val="24"/>
          <w:sz w:val="72"/>
          <w:szCs w:val="72"/>
          <w:u w:val="single"/>
          <w:lang w:bidi="ar-EG"/>
        </w:rPr>
      </w:pPr>
    </w:p>
    <w:p w:rsidR="00EC6FE9" w:rsidRPr="00EC6FE9" w:rsidRDefault="00EC6FE9"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F23518" w:rsidRDefault="00B634BE" w:rsidP="00B634BE">
      <w:pPr>
        <w:pStyle w:val="NormalWeb"/>
        <w:spacing w:before="0" w:beforeAutospacing="0" w:after="0" w:afterAutospacing="0"/>
        <w:jc w:val="center"/>
        <w:rPr>
          <w:b/>
          <w:bCs/>
          <w:color w:val="BF8F00" w:themeColor="accent4" w:themeShade="BF"/>
          <w:sz w:val="40"/>
          <w:szCs w:val="40"/>
          <w:lang w:bidi="ar-EG"/>
        </w:rPr>
      </w:pPr>
      <w:r w:rsidRPr="00F23518">
        <w:rPr>
          <w:b/>
          <w:bCs/>
          <w:color w:val="BF8F00" w:themeColor="accent4" w:themeShade="BF"/>
          <w:sz w:val="40"/>
          <w:szCs w:val="40"/>
          <w:lang w:bidi="ar-EG"/>
        </w:rPr>
        <w:t>Data Dynamos</w:t>
      </w:r>
    </w:p>
    <w:p w:rsidR="00B634BE" w:rsidRPr="00F23518" w:rsidRDefault="00B634BE" w:rsidP="00196451">
      <w:pPr>
        <w:pStyle w:val="NormalWeb"/>
        <w:spacing w:before="0" w:beforeAutospacing="0" w:after="0" w:afterAutospacing="0"/>
        <w:jc w:val="center"/>
        <w:rPr>
          <w:color w:val="BF8F00" w:themeColor="accent4" w:themeShade="BF"/>
          <w:sz w:val="22"/>
          <w:szCs w:val="22"/>
          <w:lang w:bidi="ar-EG"/>
        </w:rPr>
      </w:pPr>
      <w:r w:rsidRPr="00F23518">
        <w:rPr>
          <w:color w:val="BF8F00" w:themeColor="accent4" w:themeShade="BF"/>
          <w:sz w:val="22"/>
          <w:szCs w:val="22"/>
          <w:lang w:bidi="ar-EG"/>
        </w:rPr>
        <w:t>For HR Data Analysis</w:t>
      </w:r>
    </w:p>
    <w:p w:rsidR="002D2437" w:rsidRPr="00F23518" w:rsidRDefault="00F23518" w:rsidP="002D2437">
      <w:pPr>
        <w:spacing w:before="100" w:beforeAutospacing="1" w:after="100" w:afterAutospacing="1" w:line="240" w:lineRule="auto"/>
        <w:jc w:val="center"/>
        <w:rPr>
          <w:rFonts w:ascii="Times New Roman" w:eastAsia="Times New Roman" w:hAnsi="Times New Roman" w:cs="Times New Roman"/>
          <w:color w:val="BF8F00" w:themeColor="accent4" w:themeShade="BF"/>
          <w:sz w:val="28"/>
          <w:szCs w:val="28"/>
          <w:rtl/>
        </w:rPr>
      </w:pPr>
      <w:r w:rsidRPr="00F23518">
        <w:rPr>
          <w:rFonts w:ascii="Berlin Sans FB Demi" w:eastAsia="Times New Roman" w:hAnsi="Berlin Sans FB Demi" w:cs="Times New Roman"/>
          <w:b/>
          <w:bCs/>
          <w:color w:val="BF8F00" w:themeColor="accent4" w:themeShade="BF"/>
          <w:sz w:val="28"/>
          <w:szCs w:val="28"/>
          <w:u w:val="single"/>
        </w:rPr>
        <w:lastRenderedPageBreak/>
        <w:t>Five Forces</w:t>
      </w:r>
      <w:r w:rsidR="00EC6FE9" w:rsidRPr="00F23518">
        <w:rPr>
          <w:rFonts w:ascii="Berlin Sans FB Demi" w:eastAsia="Times New Roman" w:hAnsi="Berlin Sans FB Demi" w:cs="Times New Roman" w:hint="cs"/>
          <w:b/>
          <w:bCs/>
          <w:color w:val="BF8F00" w:themeColor="accent4" w:themeShade="BF"/>
          <w:sz w:val="28"/>
          <w:szCs w:val="28"/>
          <w:u w:val="single"/>
          <w:rtl/>
        </w:rPr>
        <w:t xml:space="preserve"> </w:t>
      </w:r>
      <w:r w:rsidR="00CE123F" w:rsidRPr="00F23518">
        <w:rPr>
          <w:rFonts w:ascii="Berlin Sans FB Demi" w:eastAsia="Times New Roman" w:hAnsi="Berlin Sans FB Demi" w:cs="Times New Roman"/>
          <w:b/>
          <w:bCs/>
          <w:color w:val="BF8F00" w:themeColor="accent4" w:themeShade="BF"/>
          <w:sz w:val="28"/>
          <w:szCs w:val="28"/>
          <w:u w:val="single"/>
        </w:rPr>
        <w:t>Analysis Report for Human Resources</w:t>
      </w:r>
    </w:p>
    <w:p w:rsidR="002D2437" w:rsidRPr="00BB666E" w:rsidRDefault="002D2437" w:rsidP="002D2437">
      <w:pPr>
        <w:spacing w:before="100" w:beforeAutospacing="1" w:after="100" w:afterAutospacing="1" w:line="240" w:lineRule="auto"/>
        <w:rPr>
          <w:rFonts w:ascii="Times New Roman" w:eastAsia="Times New Roman" w:hAnsi="Times New Roman" w:cs="Times New Roman"/>
          <w:color w:val="BF8F00" w:themeColor="accent4" w:themeShade="BF"/>
          <w:sz w:val="32"/>
          <w:szCs w:val="32"/>
          <w:u w:val="single"/>
        </w:rPr>
      </w:pPr>
      <w:r w:rsidRPr="00BB666E">
        <w:rPr>
          <w:rFonts w:ascii="Times New Roman" w:eastAsia="Times New Roman" w:hAnsi="Times New Roman" w:cs="Times New Roman"/>
          <w:b/>
          <w:bCs/>
          <w:color w:val="BF8F00" w:themeColor="accent4" w:themeShade="BF"/>
          <w:sz w:val="32"/>
          <w:szCs w:val="32"/>
          <w:u w:val="single"/>
        </w:rPr>
        <w:t>Introduction</w:t>
      </w:r>
    </w:p>
    <w:p w:rsidR="00BB666E" w:rsidRDefault="00BB666E" w:rsidP="00172F23">
      <w:pPr>
        <w:spacing w:before="100" w:beforeAutospacing="1" w:after="100" w:afterAutospacing="1" w:line="240" w:lineRule="auto"/>
        <w:rPr>
          <w:rFonts w:ascii="Times New Roman" w:eastAsia="Times New Roman" w:hAnsi="Times New Roman" w:cs="Times New Roman"/>
          <w:sz w:val="24"/>
          <w:szCs w:val="24"/>
          <w:rtl/>
        </w:rPr>
      </w:pPr>
      <w:r w:rsidRPr="00BB666E">
        <w:rPr>
          <w:rFonts w:ascii="Times New Roman" w:eastAsia="Times New Roman" w:hAnsi="Times New Roman" w:cs="Times New Roman"/>
          <w:sz w:val="24"/>
          <w:szCs w:val="24"/>
        </w:rPr>
        <w:t xml:space="preserve">The Human Resources (HR) industry is continuously evolving, shaped by competitive pressures, technological advancements, and changing employee expectations. Understanding the external forces affecting an HR company is crucial for strategic decision-making and long-term sustainability. Michael Porter’s Five Forces framework provides a structured approach to analyzing the competitive environment by assessing </w:t>
      </w:r>
      <w:r w:rsidR="00172F23">
        <w:rPr>
          <w:rFonts w:ascii="Times New Roman" w:eastAsia="Times New Roman" w:hAnsi="Times New Roman" w:cs="Times New Roman"/>
          <w:sz w:val="24"/>
          <w:szCs w:val="24"/>
        </w:rPr>
        <w:t>HR</w:t>
      </w:r>
      <w:r w:rsidRPr="00BB666E">
        <w:rPr>
          <w:rFonts w:ascii="Times New Roman" w:eastAsia="Times New Roman" w:hAnsi="Times New Roman" w:cs="Times New Roman"/>
          <w:sz w:val="24"/>
          <w:szCs w:val="24"/>
        </w:rPr>
        <w:t xml:space="preserve"> competition, the threat of new entrants, </w:t>
      </w:r>
      <w:r w:rsidR="00172F23" w:rsidRPr="00172F23">
        <w:rPr>
          <w:rFonts w:ascii="Times New Roman" w:eastAsia="Times New Roman" w:hAnsi="Times New Roman" w:cs="Times New Roman"/>
          <w:sz w:val="24"/>
          <w:szCs w:val="24"/>
        </w:rPr>
        <w:t xml:space="preserve">Talent Pool &amp; Skill Availability </w:t>
      </w:r>
      <w:r w:rsidRPr="00BB666E">
        <w:rPr>
          <w:rFonts w:ascii="Times New Roman" w:eastAsia="Times New Roman" w:hAnsi="Times New Roman" w:cs="Times New Roman"/>
          <w:sz w:val="24"/>
          <w:szCs w:val="24"/>
        </w:rPr>
        <w:t xml:space="preserve">power, </w:t>
      </w:r>
      <w:r w:rsidR="00172F23" w:rsidRPr="00172F23">
        <w:rPr>
          <w:rFonts w:ascii="Times New Roman" w:eastAsia="Times New Roman" w:hAnsi="Times New Roman" w:cs="Times New Roman"/>
          <w:sz w:val="24"/>
          <w:szCs w:val="24"/>
        </w:rPr>
        <w:t xml:space="preserve">Employees </w:t>
      </w:r>
      <w:r w:rsidRPr="00BB666E">
        <w:rPr>
          <w:rFonts w:ascii="Times New Roman" w:eastAsia="Times New Roman" w:hAnsi="Times New Roman" w:cs="Times New Roman"/>
          <w:sz w:val="24"/>
          <w:szCs w:val="24"/>
        </w:rPr>
        <w:t>power, and the threat of substitutes. This report examines these forces in detail to provide insights into the company’s positioning and strategic opportunities.</w:t>
      </w:r>
    </w:p>
    <w:p w:rsidR="00BB666E" w:rsidRDefault="00BB666E" w:rsidP="00BB666E">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color w:val="BF8F00" w:themeColor="accent4" w:themeShade="BF"/>
          <w:sz w:val="24"/>
          <w:szCs w:val="24"/>
        </w:rPr>
        <w:pict>
          <v:rect id="_x0000_i1028" style="width:0;height:1.5pt" o:hralign="center" o:hrstd="t" o:hr="t" fillcolor="#a0a0a0" stroked="f"/>
        </w:pict>
      </w:r>
    </w:p>
    <w:p w:rsidR="00BB666E" w:rsidRPr="00BB666E" w:rsidRDefault="00543043" w:rsidP="00543043">
      <w:pPr>
        <w:spacing w:before="100" w:beforeAutospacing="1" w:after="100" w:afterAutospacing="1" w:line="240" w:lineRule="auto"/>
        <w:rPr>
          <w:rFonts w:ascii="Times New Roman" w:eastAsia="Times New Roman" w:hAnsi="Times New Roman" w:cs="Times New Roman"/>
          <w:b/>
          <w:bCs/>
          <w:color w:val="BF8F00" w:themeColor="accent4" w:themeShade="BF"/>
          <w:sz w:val="32"/>
          <w:szCs w:val="32"/>
          <w:u w:val="single"/>
        </w:rPr>
      </w:pPr>
      <w:r>
        <w:rPr>
          <w:rFonts w:ascii="Times New Roman" w:eastAsia="Times New Roman" w:hAnsi="Times New Roman" w:cs="Times New Roman"/>
          <w:b/>
          <w:bCs/>
          <w:color w:val="BF8F00" w:themeColor="accent4" w:themeShade="BF"/>
          <w:sz w:val="32"/>
          <w:szCs w:val="32"/>
          <w:u w:val="single"/>
        </w:rPr>
        <w:t>1. Competitive Rivalry: HR</w:t>
      </w:r>
      <w:r w:rsidRPr="00BB666E">
        <w:rPr>
          <w:rFonts w:ascii="Times New Roman" w:eastAsia="Times New Roman" w:hAnsi="Times New Roman" w:cs="Times New Roman"/>
          <w:b/>
          <w:bCs/>
          <w:color w:val="BF8F00" w:themeColor="accent4" w:themeShade="BF"/>
          <w:sz w:val="32"/>
          <w:szCs w:val="32"/>
          <w:u w:val="single"/>
        </w:rPr>
        <w:t xml:space="preserve"> Competition</w:t>
      </w:r>
      <w:r w:rsidRPr="00BB666E">
        <w:rPr>
          <w:rFonts w:ascii="Times New Roman" w:eastAsia="Times New Roman" w:hAnsi="Times New Roman" w:cs="Times New Roman"/>
          <w:b/>
          <w:bCs/>
          <w:color w:val="BF8F00" w:themeColor="accent4" w:themeShade="BF"/>
          <w:sz w:val="32"/>
          <w:szCs w:val="32"/>
          <w:u w:val="single"/>
        </w:rPr>
        <w:t xml:space="preserve"> </w:t>
      </w:r>
      <w:r w:rsidR="00BB666E" w:rsidRPr="00BB666E">
        <w:rPr>
          <w:rFonts w:ascii="Times New Roman" w:eastAsia="Times New Roman" w:hAnsi="Times New Roman" w:cs="Times New Roman"/>
          <w:b/>
          <w:bCs/>
          <w:color w:val="BF8F00" w:themeColor="accent4" w:themeShade="BF"/>
          <w:sz w:val="32"/>
          <w:szCs w:val="32"/>
          <w:u w:val="single"/>
        </w:rPr>
        <w:t>(Industry Competition):</w:t>
      </w:r>
    </w:p>
    <w:p w:rsidR="00BB666E" w:rsidRPr="00BB666E" w:rsidRDefault="00BB666E" w:rsidP="00BB666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The company maintains a relatively low turnover rate compared to competitors, indicating strong employee retention strategies.</w:t>
      </w:r>
    </w:p>
    <w:p w:rsidR="00BB666E" w:rsidRPr="00BB666E" w:rsidRDefault="00BB666E" w:rsidP="00BB666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Competitive salaries and benefits, including stock options and health insurance, enhance employee loyalty and reduce attrition rates.</w:t>
      </w:r>
    </w:p>
    <w:p w:rsidR="00BB666E" w:rsidRPr="00BB666E" w:rsidRDefault="00BB666E" w:rsidP="00BB666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The organization invests in continuous training and development programs, ensuring that employees enhance their skills and remain competitive in the industry.</w:t>
      </w:r>
    </w:p>
    <w:p w:rsidR="00BB666E" w:rsidRPr="00BB666E" w:rsidRDefault="00BB666E" w:rsidP="00BB666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Employee satisfaction ratings suggest a positive work environment, but some disparities in work-life balance ratings (ranging from 2/5 to 5/5) may impact long-term engagement.</w:t>
      </w:r>
    </w:p>
    <w:p w:rsidR="00BB666E" w:rsidRPr="00BB666E" w:rsidRDefault="00BB666E" w:rsidP="00BB666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A structured career progression plan is in place, but some employees experience stagnation due to limited internal promotion opportunities.</w:t>
      </w:r>
    </w:p>
    <w:p w:rsidR="00BB666E" w:rsidRDefault="00BB666E" w:rsidP="00BB666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High levels of innovation and collaboration within teams give the company an edge over competitors in fostering a strong corporate culture.</w:t>
      </w:r>
    </w:p>
    <w:p w:rsidR="00BB666E" w:rsidRPr="00BB666E" w:rsidRDefault="00BB666E" w:rsidP="00BB66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BF8F00" w:themeColor="accent4" w:themeShade="BF"/>
          <w:sz w:val="24"/>
          <w:szCs w:val="24"/>
        </w:rPr>
        <w:pict>
          <v:rect id="_x0000_i1029" style="width:0;height:1.5pt" o:hralign="center" o:hrstd="t" o:hr="t" fillcolor="#a0a0a0" stroked="f"/>
        </w:pict>
      </w:r>
    </w:p>
    <w:p w:rsidR="00BB666E" w:rsidRPr="00BB666E" w:rsidRDefault="00BB666E" w:rsidP="00BB666E">
      <w:pPr>
        <w:spacing w:before="100" w:beforeAutospacing="1" w:after="100" w:afterAutospacing="1" w:line="240" w:lineRule="auto"/>
        <w:rPr>
          <w:rFonts w:ascii="Times New Roman" w:eastAsia="Times New Roman" w:hAnsi="Times New Roman" w:cs="Times New Roman"/>
          <w:b/>
          <w:bCs/>
          <w:color w:val="BF8F00" w:themeColor="accent4" w:themeShade="BF"/>
          <w:sz w:val="32"/>
          <w:szCs w:val="32"/>
          <w:u w:val="single"/>
        </w:rPr>
      </w:pPr>
      <w:r w:rsidRPr="00BB666E">
        <w:rPr>
          <w:rFonts w:ascii="Times New Roman" w:eastAsia="Times New Roman" w:hAnsi="Times New Roman" w:cs="Times New Roman"/>
          <w:b/>
          <w:bCs/>
          <w:color w:val="BF8F00" w:themeColor="accent4" w:themeShade="BF"/>
          <w:sz w:val="32"/>
          <w:szCs w:val="32"/>
          <w:u w:val="single"/>
        </w:rPr>
        <w:t>2. Threat of New Entrants:</w:t>
      </w:r>
    </w:p>
    <w:p w:rsidR="00BB666E" w:rsidRPr="00BB666E" w:rsidRDefault="00BB666E" w:rsidP="00BB666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The HR industry is highly competitive, but barriers to entry include the need for strong recruitment networks, well-established HR technologies, and a reputation for effective workforce management.</w:t>
      </w:r>
    </w:p>
    <w:p w:rsidR="00BB666E" w:rsidRPr="00BB666E" w:rsidRDefault="00BB666E" w:rsidP="00BB666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The company’s partnerships with universities and cooperative training programs create a sustainable pipeline for fresh talent, reducing the risk of losing market share to new competitors.</w:t>
      </w:r>
    </w:p>
    <w:p w:rsidR="00BB666E" w:rsidRPr="00BB666E" w:rsidRDefault="00BB666E" w:rsidP="00BB666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lastRenderedPageBreak/>
        <w:t>Advanced HR technologies, such as AI-driven analytics, automated performance tracking, and data-driven decision-making tools, offer an advantage that new entrants may struggle to match.</w:t>
      </w:r>
    </w:p>
    <w:p w:rsidR="00BB666E" w:rsidRPr="00BB666E" w:rsidRDefault="00BB666E" w:rsidP="00BB666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Compliance with local labor laws, certifications, and regulatory standards acts as an entry barrier, favoring established players over newcomers.</w:t>
      </w:r>
    </w:p>
    <w:p w:rsidR="00BB666E" w:rsidRDefault="00BB666E" w:rsidP="00BB666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The company benefits from brand recognition and long-term client relationships, making it more difficult for new firms to attract high-quality candidates and corporate clients.</w:t>
      </w:r>
    </w:p>
    <w:p w:rsidR="00BB666E" w:rsidRPr="00BB666E" w:rsidRDefault="00BB666E" w:rsidP="00BB66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BF8F00" w:themeColor="accent4" w:themeShade="BF"/>
          <w:sz w:val="24"/>
          <w:szCs w:val="24"/>
        </w:rPr>
        <w:pict>
          <v:rect id="_x0000_i1031" style="width:0;height:1.5pt" o:hralign="center" o:hrstd="t" o:hr="t" fillcolor="#a0a0a0" stroked="f"/>
        </w:pict>
      </w:r>
    </w:p>
    <w:p w:rsidR="00BB666E" w:rsidRPr="00BB666E" w:rsidRDefault="00BB666E" w:rsidP="00683614">
      <w:pPr>
        <w:spacing w:before="100" w:beforeAutospacing="1" w:after="100" w:afterAutospacing="1" w:line="240" w:lineRule="auto"/>
        <w:rPr>
          <w:rFonts w:ascii="Times New Roman" w:eastAsia="Times New Roman" w:hAnsi="Times New Roman" w:cs="Times New Roman"/>
          <w:b/>
          <w:bCs/>
          <w:color w:val="BF8F00" w:themeColor="accent4" w:themeShade="BF"/>
          <w:sz w:val="32"/>
          <w:szCs w:val="32"/>
          <w:u w:val="single"/>
        </w:rPr>
      </w:pPr>
      <w:r w:rsidRPr="00BB666E">
        <w:rPr>
          <w:rFonts w:ascii="Times New Roman" w:eastAsia="Times New Roman" w:hAnsi="Times New Roman" w:cs="Times New Roman"/>
          <w:b/>
          <w:bCs/>
          <w:color w:val="BF8F00" w:themeColor="accent4" w:themeShade="BF"/>
          <w:sz w:val="32"/>
          <w:szCs w:val="32"/>
          <w:u w:val="single"/>
        </w:rPr>
        <w:t xml:space="preserve">3. Bargaining Power of </w:t>
      </w:r>
      <w:r w:rsidR="00683614" w:rsidRPr="00BB666E">
        <w:rPr>
          <w:rFonts w:ascii="Times New Roman" w:eastAsia="Times New Roman" w:hAnsi="Times New Roman" w:cs="Times New Roman"/>
          <w:b/>
          <w:bCs/>
          <w:color w:val="BF8F00" w:themeColor="accent4" w:themeShade="BF"/>
          <w:sz w:val="32"/>
          <w:szCs w:val="32"/>
          <w:u w:val="single"/>
        </w:rPr>
        <w:t>Talent Pool &amp; Skill Availability</w:t>
      </w:r>
      <w:r w:rsidR="00683614">
        <w:rPr>
          <w:rFonts w:ascii="Times New Roman" w:eastAsia="Times New Roman" w:hAnsi="Times New Roman" w:cs="Times New Roman" w:hint="cs"/>
          <w:b/>
          <w:bCs/>
          <w:color w:val="BF8F00" w:themeColor="accent4" w:themeShade="BF"/>
          <w:sz w:val="32"/>
          <w:szCs w:val="32"/>
          <w:u w:val="single"/>
          <w:rtl/>
        </w:rPr>
        <w:t xml:space="preserve"> </w:t>
      </w:r>
      <w:r w:rsidRPr="00BB666E">
        <w:rPr>
          <w:rFonts w:ascii="Times New Roman" w:eastAsia="Times New Roman" w:hAnsi="Times New Roman" w:cs="Times New Roman"/>
          <w:b/>
          <w:bCs/>
          <w:color w:val="BF8F00" w:themeColor="accent4" w:themeShade="BF"/>
          <w:sz w:val="32"/>
          <w:szCs w:val="32"/>
          <w:u w:val="single"/>
        </w:rPr>
        <w:t>(</w:t>
      </w:r>
      <w:r w:rsidR="00683614" w:rsidRPr="00BB666E">
        <w:rPr>
          <w:rFonts w:ascii="Times New Roman" w:eastAsia="Times New Roman" w:hAnsi="Times New Roman" w:cs="Times New Roman"/>
          <w:b/>
          <w:bCs/>
          <w:color w:val="BF8F00" w:themeColor="accent4" w:themeShade="BF"/>
          <w:sz w:val="32"/>
          <w:szCs w:val="32"/>
          <w:u w:val="single"/>
        </w:rPr>
        <w:t>Suppliers</w:t>
      </w:r>
      <w:r w:rsidRPr="00BB666E">
        <w:rPr>
          <w:rFonts w:ascii="Times New Roman" w:eastAsia="Times New Roman" w:hAnsi="Times New Roman" w:cs="Times New Roman"/>
          <w:b/>
          <w:bCs/>
          <w:color w:val="BF8F00" w:themeColor="accent4" w:themeShade="BF"/>
          <w:sz w:val="32"/>
          <w:szCs w:val="32"/>
          <w:u w:val="single"/>
        </w:rPr>
        <w:t>):</w:t>
      </w:r>
    </w:p>
    <w:p w:rsidR="00BB666E" w:rsidRPr="00BB666E" w:rsidRDefault="00BB666E" w:rsidP="00BB66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The company's workforce is well-educated, with a significant number of employees holding bachelor’s and master’s degrees, which strengthens its competitive position.</w:t>
      </w:r>
    </w:p>
    <w:p w:rsidR="00BB666E" w:rsidRPr="00BB666E" w:rsidRDefault="00BB666E" w:rsidP="00BB66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Training participation rates indicate that employees have access to development programs, but a portion of them do not fully utilize these opportunities, potentially affecting skill growth.</w:t>
      </w:r>
    </w:p>
    <w:p w:rsidR="00BB666E" w:rsidRPr="00BB666E" w:rsidRDefault="00BB666E" w:rsidP="00BB66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The availability of skilled professionals in the job market may affect hiring strategies, requiring competitive compensation and career growth opportunities to attract top-tier talent.</w:t>
      </w:r>
    </w:p>
    <w:p w:rsidR="00BB666E" w:rsidRPr="00BB666E" w:rsidRDefault="00BB666E" w:rsidP="00BB66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The company relies on external training institutions and online learning platforms for skill enhancement, which may influence knowledge transfer efficiency.</w:t>
      </w:r>
    </w:p>
    <w:p w:rsidR="00BB666E" w:rsidRDefault="00BB666E" w:rsidP="00BB66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Strong relationships with universities and certification programs provide a steady influx of new talent but require continuous adaptation to changing industry demands.</w:t>
      </w:r>
    </w:p>
    <w:p w:rsidR="00BB666E" w:rsidRPr="00BB666E" w:rsidRDefault="00BB666E" w:rsidP="00BB66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BF8F00" w:themeColor="accent4" w:themeShade="BF"/>
          <w:sz w:val="24"/>
          <w:szCs w:val="24"/>
        </w:rPr>
        <w:pict>
          <v:rect id="_x0000_i1032" style="width:0;height:1.5pt" o:hralign="center" o:hrstd="t" o:hr="t" fillcolor="#a0a0a0" stroked="f"/>
        </w:pict>
      </w:r>
    </w:p>
    <w:p w:rsidR="00BB666E" w:rsidRPr="00BB666E" w:rsidRDefault="00BB666E" w:rsidP="005318DE">
      <w:pPr>
        <w:spacing w:before="100" w:beforeAutospacing="1" w:after="100" w:afterAutospacing="1" w:line="240" w:lineRule="auto"/>
        <w:rPr>
          <w:rFonts w:ascii="Times New Roman" w:eastAsia="Times New Roman" w:hAnsi="Times New Roman" w:cs="Times New Roman"/>
          <w:b/>
          <w:bCs/>
          <w:color w:val="BF8F00" w:themeColor="accent4" w:themeShade="BF"/>
          <w:sz w:val="32"/>
          <w:szCs w:val="32"/>
          <w:u w:val="single"/>
        </w:rPr>
      </w:pPr>
      <w:r w:rsidRPr="00BB666E">
        <w:rPr>
          <w:rFonts w:ascii="Times New Roman" w:eastAsia="Times New Roman" w:hAnsi="Times New Roman" w:cs="Times New Roman"/>
          <w:b/>
          <w:bCs/>
          <w:color w:val="BF8F00" w:themeColor="accent4" w:themeShade="BF"/>
          <w:sz w:val="32"/>
          <w:szCs w:val="32"/>
          <w:u w:val="single"/>
        </w:rPr>
        <w:t xml:space="preserve">4. Bargaining Power of </w:t>
      </w:r>
      <w:r w:rsidR="005318DE" w:rsidRPr="00BB666E">
        <w:rPr>
          <w:rFonts w:ascii="Times New Roman" w:eastAsia="Times New Roman" w:hAnsi="Times New Roman" w:cs="Times New Roman"/>
          <w:b/>
          <w:bCs/>
          <w:color w:val="BF8F00" w:themeColor="accent4" w:themeShade="BF"/>
          <w:sz w:val="32"/>
          <w:szCs w:val="32"/>
          <w:u w:val="single"/>
        </w:rPr>
        <w:t>Employees</w:t>
      </w:r>
      <w:r w:rsidR="005318DE">
        <w:rPr>
          <w:rFonts w:ascii="Times New Roman" w:eastAsia="Times New Roman" w:hAnsi="Times New Roman" w:cs="Times New Roman" w:hint="cs"/>
          <w:b/>
          <w:bCs/>
          <w:color w:val="BF8F00" w:themeColor="accent4" w:themeShade="BF"/>
          <w:sz w:val="32"/>
          <w:szCs w:val="32"/>
          <w:u w:val="single"/>
          <w:rtl/>
        </w:rPr>
        <w:t xml:space="preserve"> </w:t>
      </w:r>
      <w:r w:rsidRPr="00BB666E">
        <w:rPr>
          <w:rFonts w:ascii="Times New Roman" w:eastAsia="Times New Roman" w:hAnsi="Times New Roman" w:cs="Times New Roman"/>
          <w:b/>
          <w:bCs/>
          <w:color w:val="BF8F00" w:themeColor="accent4" w:themeShade="BF"/>
          <w:sz w:val="32"/>
          <w:szCs w:val="32"/>
          <w:u w:val="single"/>
        </w:rPr>
        <w:t>(</w:t>
      </w:r>
      <w:r w:rsidR="005318DE" w:rsidRPr="00BB666E">
        <w:rPr>
          <w:rFonts w:ascii="Times New Roman" w:eastAsia="Times New Roman" w:hAnsi="Times New Roman" w:cs="Times New Roman"/>
          <w:b/>
          <w:bCs/>
          <w:color w:val="BF8F00" w:themeColor="accent4" w:themeShade="BF"/>
          <w:sz w:val="32"/>
          <w:szCs w:val="32"/>
          <w:u w:val="single"/>
        </w:rPr>
        <w:t>Buyers</w:t>
      </w:r>
      <w:r w:rsidRPr="00BB666E">
        <w:rPr>
          <w:rFonts w:ascii="Times New Roman" w:eastAsia="Times New Roman" w:hAnsi="Times New Roman" w:cs="Times New Roman"/>
          <w:b/>
          <w:bCs/>
          <w:color w:val="BF8F00" w:themeColor="accent4" w:themeShade="BF"/>
          <w:sz w:val="32"/>
          <w:szCs w:val="32"/>
          <w:u w:val="single"/>
        </w:rPr>
        <w:t>):</w:t>
      </w:r>
    </w:p>
    <w:p w:rsidR="00BB666E" w:rsidRPr="00BB666E" w:rsidRDefault="00BB666E" w:rsidP="00BB666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Employees have moderate bargaining power due to their ability to seek better offers in the industry, especially those with specialized skills in HR analytics and strategic workforce planning.</w:t>
      </w:r>
    </w:p>
    <w:p w:rsidR="00BB666E" w:rsidRPr="00BB666E" w:rsidRDefault="00BB666E" w:rsidP="00BB666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Job satisfaction and relationship satisfaction ratings indicate a generally positive work environment, but variations in compensation competitiveness can impact retention.</w:t>
      </w:r>
    </w:p>
    <w:p w:rsidR="00BB666E" w:rsidRPr="00BB666E" w:rsidRDefault="00BB666E" w:rsidP="00BB666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Employees increasingly value flexible work arrangements, including remote and hybrid models, highlighting the need for more adaptive workplace policies.</w:t>
      </w:r>
    </w:p>
    <w:p w:rsidR="00BB666E" w:rsidRPr="00BB666E" w:rsidRDefault="00BB666E" w:rsidP="00BB666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Exit interviews suggest that some employees leave due to limited career progression opportunities, reinforcing the need for structured promotion pathways.</w:t>
      </w:r>
    </w:p>
    <w:p w:rsidR="00BB666E" w:rsidRDefault="00BB666E" w:rsidP="00BB666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lastRenderedPageBreak/>
        <w:t>High-performing employees demand continuous professional development, and failure to meet their expectations may result in turnover to competing firms offering better career growth prospects.</w:t>
      </w:r>
    </w:p>
    <w:p w:rsidR="00BB666E" w:rsidRPr="00BB666E" w:rsidRDefault="00BB666E" w:rsidP="00BB66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BF8F00" w:themeColor="accent4" w:themeShade="BF"/>
          <w:sz w:val="24"/>
          <w:szCs w:val="24"/>
        </w:rPr>
        <w:pict>
          <v:rect id="_x0000_i1033" style="width:0;height:1.5pt" o:hralign="center" o:hrstd="t" o:hr="t" fillcolor="#a0a0a0" stroked="f"/>
        </w:pict>
      </w:r>
    </w:p>
    <w:p w:rsidR="00BB666E" w:rsidRPr="00BB666E" w:rsidRDefault="00BB666E" w:rsidP="00BB666E">
      <w:pPr>
        <w:spacing w:before="100" w:beforeAutospacing="1" w:after="100" w:afterAutospacing="1" w:line="240" w:lineRule="auto"/>
        <w:rPr>
          <w:rFonts w:ascii="Times New Roman" w:eastAsia="Times New Roman" w:hAnsi="Times New Roman" w:cs="Times New Roman"/>
          <w:b/>
          <w:bCs/>
          <w:color w:val="BF8F00" w:themeColor="accent4" w:themeShade="BF"/>
          <w:sz w:val="32"/>
          <w:szCs w:val="32"/>
          <w:u w:val="single"/>
        </w:rPr>
      </w:pPr>
      <w:r w:rsidRPr="00BB666E">
        <w:rPr>
          <w:rFonts w:ascii="Times New Roman" w:eastAsia="Times New Roman" w:hAnsi="Times New Roman" w:cs="Times New Roman"/>
          <w:b/>
          <w:bCs/>
          <w:color w:val="BF8F00" w:themeColor="accent4" w:themeShade="BF"/>
          <w:sz w:val="32"/>
          <w:szCs w:val="32"/>
          <w:u w:val="single"/>
        </w:rPr>
        <w:t>5. Threat of Substitutes:</w:t>
      </w:r>
    </w:p>
    <w:p w:rsidR="00BB666E" w:rsidRPr="00BB666E" w:rsidRDefault="00BB666E" w:rsidP="00BB666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The presence of alternative employment opportunities in other industries with better work-life balance and benefits can pose a risk to talent retention.</w:t>
      </w:r>
    </w:p>
    <w:p w:rsidR="00BB666E" w:rsidRPr="00BB666E" w:rsidRDefault="00BB666E" w:rsidP="00BB666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The increasing use of automation and AI-driven tools in HR functions could reduce reliance on human-driven roles, leading to shifts in workforce demands and requiring employees to upskill in technology-driven HR processes.</w:t>
      </w:r>
    </w:p>
    <w:p w:rsidR="00BB666E" w:rsidRPr="00BB666E" w:rsidRDefault="00BB666E" w:rsidP="00BB666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Enhancing career progression paths, offering performance-based incentives, and recognizing employee achievements can mitigate the risk of employees seeking alternative career options.</w:t>
      </w:r>
    </w:p>
    <w:p w:rsidR="00BB666E" w:rsidRPr="00BB666E" w:rsidRDefault="00BB666E" w:rsidP="00BB666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Employees may opt for freelance HR consulting roles, which offer greater flexibility and financial benefits, presenting an alternative to traditional employment in the HR sector.</w:t>
      </w:r>
    </w:p>
    <w:p w:rsidR="00BB666E" w:rsidRDefault="00BB666E" w:rsidP="00BB666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Organizations providing superior employee experience, including mental health support, wellness programs, and professional mentorship, may attract talent away from the company.</w:t>
      </w:r>
    </w:p>
    <w:p w:rsidR="00BB666E" w:rsidRPr="00BB666E" w:rsidRDefault="00BB666E" w:rsidP="00BB66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BF8F00" w:themeColor="accent4" w:themeShade="BF"/>
          <w:sz w:val="24"/>
          <w:szCs w:val="24"/>
        </w:rPr>
        <w:pict>
          <v:rect id="_x0000_i1035" style="width:0;height:1.5pt" o:hralign="center" o:hrstd="t" o:hr="t" fillcolor="#a0a0a0" stroked="f"/>
        </w:pict>
      </w:r>
    </w:p>
    <w:p w:rsidR="00BB666E" w:rsidRPr="00BB666E" w:rsidRDefault="00BB666E" w:rsidP="00BB666E">
      <w:pPr>
        <w:spacing w:before="100" w:beforeAutospacing="1" w:after="100" w:afterAutospacing="1" w:line="240" w:lineRule="auto"/>
        <w:rPr>
          <w:rFonts w:ascii="Times New Roman" w:eastAsia="Times New Roman" w:hAnsi="Times New Roman" w:cs="Times New Roman"/>
          <w:b/>
          <w:bCs/>
          <w:color w:val="BF8F00" w:themeColor="accent4" w:themeShade="BF"/>
          <w:sz w:val="32"/>
          <w:szCs w:val="32"/>
          <w:u w:val="single"/>
        </w:rPr>
      </w:pPr>
      <w:r w:rsidRPr="00BB666E">
        <w:rPr>
          <w:rFonts w:ascii="Times New Roman" w:eastAsia="Times New Roman" w:hAnsi="Times New Roman" w:cs="Times New Roman"/>
          <w:b/>
          <w:bCs/>
          <w:color w:val="BF8F00" w:themeColor="accent4" w:themeShade="BF"/>
          <w:sz w:val="32"/>
          <w:szCs w:val="32"/>
          <w:u w:val="single"/>
        </w:rPr>
        <w:t>Recommendations:</w:t>
      </w:r>
    </w:p>
    <w:p w:rsidR="00BB666E" w:rsidRPr="00BB666E" w:rsidRDefault="00BB666E" w:rsidP="00BB666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Strengthen work-life balance policies by offering hybrid work models and additional flexibility to enhance job satisfaction and employee engagement.</w:t>
      </w:r>
    </w:p>
    <w:p w:rsidR="00BB666E" w:rsidRPr="00BB666E" w:rsidRDefault="00BB666E" w:rsidP="00BB666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Improve employee retention by increasing participation in career development programs, leadership training, and mentoring initiatives.</w:t>
      </w:r>
    </w:p>
    <w:p w:rsidR="00BB666E" w:rsidRPr="00BB666E" w:rsidRDefault="00BB666E" w:rsidP="00BB666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Continue leveraging AI-driven HR technologies to maintain a competitive edge over new market entrants and improve operational efficiency.</w:t>
      </w:r>
    </w:p>
    <w:p w:rsidR="00BB666E" w:rsidRPr="00BB666E" w:rsidRDefault="00BB666E" w:rsidP="00BB666E">
      <w:pPr>
        <w:numPr>
          <w:ilvl w:val="0"/>
          <w:numId w:val="35"/>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BB666E">
        <w:rPr>
          <w:rFonts w:ascii="Times New Roman" w:eastAsia="Times New Roman" w:hAnsi="Times New Roman" w:cs="Times New Roman"/>
          <w:sz w:val="24"/>
          <w:szCs w:val="24"/>
        </w:rPr>
        <w:t xml:space="preserve">Regularly benchmark compensation packages against competitors to attract and retain top talent, ensuring that </w:t>
      </w:r>
      <w:bookmarkEnd w:id="0"/>
      <w:r w:rsidRPr="00BB666E">
        <w:rPr>
          <w:rFonts w:ascii="Times New Roman" w:eastAsia="Times New Roman" w:hAnsi="Times New Roman" w:cs="Times New Roman"/>
          <w:sz w:val="24"/>
          <w:szCs w:val="24"/>
        </w:rPr>
        <w:t>salaries and benefits remain competitive.</w:t>
      </w:r>
    </w:p>
    <w:p w:rsidR="00BB666E" w:rsidRPr="00BB666E" w:rsidRDefault="00BB666E" w:rsidP="00BB666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Enhance engagement initiatives to address satisfaction disparities, including more frequent feedback sessions, employee recognition programs, and inclusive decision-making processes.</w:t>
      </w:r>
    </w:p>
    <w:p w:rsidR="00BB666E" w:rsidRPr="00BB666E" w:rsidRDefault="00BB666E" w:rsidP="00BB666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Develop a structured promotion and career progression plan to prevent job stagnation and ensure long-term employee commitment.</w:t>
      </w:r>
    </w:p>
    <w:p w:rsidR="00BB666E" w:rsidRDefault="00BB666E" w:rsidP="00BB666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C3B95">
        <w:rPr>
          <w:rFonts w:ascii="Times New Roman" w:eastAsia="Times New Roman" w:hAnsi="Times New Roman" w:cs="Times New Roman"/>
          <w:b/>
          <w:bCs/>
          <w:noProof/>
          <w:color w:val="00B050"/>
          <w:sz w:val="24"/>
          <w:szCs w:val="24"/>
        </w:rPr>
        <w:drawing>
          <wp:anchor distT="0" distB="0" distL="114300" distR="114300" simplePos="0" relativeHeight="251677696" behindDoc="1" locked="0" layoutInCell="1" allowOverlap="1" wp14:anchorId="51F3587A" wp14:editId="7F961403">
            <wp:simplePos x="0" y="0"/>
            <wp:positionH relativeFrom="column">
              <wp:posOffset>5306827</wp:posOffset>
            </wp:positionH>
            <wp:positionV relativeFrom="paragraph">
              <wp:posOffset>539912</wp:posOffset>
            </wp:positionV>
            <wp:extent cx="854075" cy="675005"/>
            <wp:effectExtent l="114300" t="57150" r="41275" b="106045"/>
            <wp:wrapTight wrapText="bothSides">
              <wp:wrapPolygon edited="0">
                <wp:start x="2409" y="-1829"/>
                <wp:lineTo x="-2891" y="-610"/>
                <wp:lineTo x="-2891" y="18897"/>
                <wp:lineTo x="-482" y="24384"/>
                <wp:lineTo x="20717" y="24384"/>
                <wp:lineTo x="22162" y="18897"/>
                <wp:lineTo x="21199" y="9144"/>
                <wp:lineTo x="20235" y="0"/>
                <wp:lineTo x="20235" y="-1829"/>
                <wp:lineTo x="2409" y="-182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4075" cy="6750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BB666E">
        <w:rPr>
          <w:rFonts w:ascii="Times New Roman" w:eastAsia="Times New Roman" w:hAnsi="Times New Roman" w:cs="Times New Roman"/>
          <w:sz w:val="24"/>
          <w:szCs w:val="24"/>
        </w:rPr>
        <w:t>Expand corporate social responsibility (CSR) and diversity and inclusion initiatives to create a more attractive employer brand and strengthen workforce loyalty.</w:t>
      </w:r>
    </w:p>
    <w:p w:rsidR="00BB666E" w:rsidRPr="00BB666E" w:rsidRDefault="00BB666E" w:rsidP="004563FB">
      <w:p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Pr>
          <w:rFonts w:ascii="Times New Roman" w:eastAsia="Times New Roman" w:hAnsi="Times New Roman" w:cs="Times New Roman"/>
          <w:color w:val="BF8F00" w:themeColor="accent4" w:themeShade="BF"/>
          <w:sz w:val="24"/>
          <w:szCs w:val="24"/>
        </w:rPr>
        <w:pict>
          <v:rect id="_x0000_i1040" style="width:0;height:1.5pt" o:hralign="center" o:bullet="t" o:hrstd="t" o:hr="t" fillcolor="#a0a0a0" stroked="f"/>
        </w:pict>
      </w:r>
    </w:p>
    <w:p w:rsidR="00BB666E" w:rsidRPr="00BB666E" w:rsidRDefault="00BB666E" w:rsidP="00BB666E">
      <w:pPr>
        <w:spacing w:before="100" w:beforeAutospacing="1" w:after="100" w:afterAutospacing="1" w:line="240" w:lineRule="auto"/>
        <w:rPr>
          <w:rFonts w:ascii="Times New Roman" w:eastAsia="Times New Roman" w:hAnsi="Times New Roman" w:cs="Times New Roman"/>
          <w:b/>
          <w:bCs/>
          <w:color w:val="BF8F00" w:themeColor="accent4" w:themeShade="BF"/>
          <w:sz w:val="32"/>
          <w:szCs w:val="32"/>
          <w:u w:val="single"/>
        </w:rPr>
      </w:pPr>
      <w:r w:rsidRPr="00BB666E">
        <w:rPr>
          <w:rFonts w:ascii="Times New Roman" w:eastAsia="Times New Roman" w:hAnsi="Times New Roman" w:cs="Times New Roman"/>
          <w:b/>
          <w:bCs/>
          <w:color w:val="BF8F00" w:themeColor="accent4" w:themeShade="BF"/>
          <w:sz w:val="32"/>
          <w:szCs w:val="32"/>
          <w:u w:val="single"/>
        </w:rPr>
        <w:lastRenderedPageBreak/>
        <w:t>Conclusion:</w:t>
      </w:r>
    </w:p>
    <w:p w:rsidR="00F23518" w:rsidRDefault="00BB666E" w:rsidP="00BB666E">
      <w:pPr>
        <w:spacing w:before="100" w:beforeAutospacing="1" w:after="100" w:afterAutospacing="1" w:line="240" w:lineRule="auto"/>
        <w:rPr>
          <w:rFonts w:ascii="Times New Roman" w:eastAsia="Times New Roman" w:hAnsi="Times New Roman" w:cs="Times New Roman"/>
          <w:sz w:val="24"/>
          <w:szCs w:val="24"/>
        </w:rPr>
      </w:pPr>
      <w:r w:rsidRPr="00BB666E">
        <w:rPr>
          <w:rFonts w:ascii="Times New Roman" w:eastAsia="Times New Roman" w:hAnsi="Times New Roman" w:cs="Times New Roman"/>
          <w:sz w:val="24"/>
          <w:szCs w:val="24"/>
        </w:rPr>
        <w:t>This Five Forces Analysis highlights the competitive dynamics affecting the HR company, emphasizing the importance of employee retention, training investments, and technology adoption. By addressing these factors strategically, the company can sustain its market position, attract top talent, and enhance its operational efficiency in the long term. The integration of innovative HR solutions, enhanced employee engagement strategies, and a commitment to continuous learning will ensure the company remains a leader in the industry while effectively managing workforce challenges.</w:t>
      </w:r>
    </w:p>
    <w:p w:rsidR="00F23518" w:rsidRDefault="00F23518" w:rsidP="002D2437">
      <w:pPr>
        <w:spacing w:before="100" w:beforeAutospacing="1" w:after="100" w:afterAutospacing="1" w:line="240" w:lineRule="auto"/>
        <w:rPr>
          <w:rFonts w:ascii="Times New Roman" w:eastAsia="Times New Roman" w:hAnsi="Times New Roman" w:cs="Times New Roman"/>
          <w:sz w:val="24"/>
          <w:szCs w:val="24"/>
        </w:rPr>
      </w:pPr>
    </w:p>
    <w:p w:rsidR="00F23518" w:rsidRDefault="00F23518" w:rsidP="002D2437">
      <w:pPr>
        <w:spacing w:before="100" w:beforeAutospacing="1" w:after="100" w:afterAutospacing="1" w:line="240" w:lineRule="auto"/>
        <w:rPr>
          <w:rFonts w:ascii="Times New Roman" w:eastAsia="Times New Roman" w:hAnsi="Times New Roman" w:cs="Times New Roman"/>
          <w:sz w:val="24"/>
          <w:szCs w:val="24"/>
        </w:rPr>
      </w:pPr>
    </w:p>
    <w:p w:rsidR="00F23518" w:rsidRDefault="00F23518" w:rsidP="002D2437">
      <w:pPr>
        <w:spacing w:before="100" w:beforeAutospacing="1" w:after="100" w:afterAutospacing="1" w:line="240" w:lineRule="auto"/>
        <w:rPr>
          <w:rFonts w:ascii="Times New Roman" w:eastAsia="Times New Roman" w:hAnsi="Times New Roman" w:cs="Times New Roman"/>
          <w:sz w:val="24"/>
          <w:szCs w:val="24"/>
        </w:rPr>
      </w:pPr>
    </w:p>
    <w:p w:rsidR="00F23518" w:rsidRDefault="00F23518" w:rsidP="002D2437">
      <w:pPr>
        <w:spacing w:before="100" w:beforeAutospacing="1" w:after="100" w:afterAutospacing="1" w:line="240" w:lineRule="auto"/>
        <w:rPr>
          <w:rFonts w:ascii="Times New Roman" w:eastAsia="Times New Roman" w:hAnsi="Times New Roman" w:cs="Times New Roman"/>
          <w:sz w:val="24"/>
          <w:szCs w:val="24"/>
        </w:rPr>
      </w:pPr>
    </w:p>
    <w:p w:rsidR="00F23518" w:rsidRDefault="00F23518" w:rsidP="002D2437">
      <w:pPr>
        <w:spacing w:before="100" w:beforeAutospacing="1" w:after="100" w:afterAutospacing="1" w:line="240" w:lineRule="auto"/>
        <w:rPr>
          <w:rFonts w:ascii="Times New Roman" w:eastAsia="Times New Roman" w:hAnsi="Times New Roman" w:cs="Times New Roman"/>
          <w:sz w:val="24"/>
          <w:szCs w:val="24"/>
        </w:rPr>
      </w:pPr>
    </w:p>
    <w:p w:rsidR="00F23518" w:rsidRDefault="00F23518" w:rsidP="002D2437">
      <w:pPr>
        <w:spacing w:before="100" w:beforeAutospacing="1" w:after="100" w:afterAutospacing="1" w:line="240" w:lineRule="auto"/>
        <w:rPr>
          <w:rFonts w:ascii="Times New Roman" w:eastAsia="Times New Roman" w:hAnsi="Times New Roman" w:cs="Times New Roman"/>
          <w:sz w:val="24"/>
          <w:szCs w:val="24"/>
        </w:rPr>
      </w:pPr>
    </w:p>
    <w:p w:rsidR="00F23518" w:rsidRDefault="00F23518" w:rsidP="002D2437">
      <w:pPr>
        <w:spacing w:before="100" w:beforeAutospacing="1" w:after="100" w:afterAutospacing="1" w:line="240" w:lineRule="auto"/>
        <w:rPr>
          <w:rFonts w:ascii="Times New Roman" w:eastAsia="Times New Roman" w:hAnsi="Times New Roman" w:cs="Times New Roman"/>
          <w:sz w:val="24"/>
          <w:szCs w:val="24"/>
          <w:rtl/>
        </w:rPr>
      </w:pPr>
    </w:p>
    <w:p w:rsidR="00C01D70" w:rsidRDefault="00C01D70"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4563FB" w:rsidRDefault="004563FB"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4563FB" w:rsidRDefault="004563FB"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C01D70" w:rsidRDefault="00C01D70"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CB1CAE" w:rsidRPr="00CE123F" w:rsidRDefault="00E664C3" w:rsidP="00E664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margin">
              <wp:align>center</wp:align>
            </wp:positionH>
            <wp:positionV relativeFrom="paragraph">
              <wp:posOffset>55558</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F23518">
              <w:rPr>
                <w:b/>
                <w:bCs/>
                <w:color w:val="BF8F00" w:themeColor="accent4" w:themeShade="BF"/>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F23518">
      <w:pgSz w:w="12240" w:h="15840"/>
      <w:pgMar w:top="1440" w:right="1800" w:bottom="1440" w:left="1800" w:header="720" w:footer="720" w:gutter="0"/>
      <w:pgBorders w:offsetFrom="page">
        <w:top w:val="thinThickThinSmallGap" w:sz="24" w:space="24" w:color="BF8F00" w:themeColor="accent4" w:themeShade="BF"/>
        <w:left w:val="thinThickThinSmallGap" w:sz="24" w:space="24" w:color="BF8F00" w:themeColor="accent4" w:themeShade="BF"/>
        <w:bottom w:val="thinThickThinSmallGap" w:sz="24" w:space="24" w:color="BF8F00" w:themeColor="accent4" w:themeShade="BF"/>
        <w:right w:val="thinThickThinSmallGap" w:sz="24" w:space="24" w:color="BF8F00" w:themeColor="accent4"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83C" w:rsidRDefault="00AF183C" w:rsidP="00196451">
      <w:pPr>
        <w:spacing w:after="0" w:line="240" w:lineRule="auto"/>
      </w:pPr>
      <w:r>
        <w:separator/>
      </w:r>
    </w:p>
  </w:endnote>
  <w:endnote w:type="continuationSeparator" w:id="0">
    <w:p w:rsidR="00AF183C" w:rsidRDefault="00AF183C"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83C" w:rsidRDefault="00AF183C" w:rsidP="00196451">
      <w:pPr>
        <w:spacing w:after="0" w:line="240" w:lineRule="auto"/>
      </w:pPr>
      <w:r>
        <w:separator/>
      </w:r>
    </w:p>
  </w:footnote>
  <w:footnote w:type="continuationSeparator" w:id="0">
    <w:p w:rsidR="00AF183C" w:rsidRDefault="00AF183C" w:rsidP="0019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w14:anchorId="20621186" id="_x0000_i1038" style="width:0;height:1.5pt" o:hralign="center" o:bullet="t" o:hrstd="t" o:hr="t" fillcolor="#a0a0a0" stroked="f"/>
    </w:pict>
  </w:numPicBullet>
  <w:abstractNum w:abstractNumId="0" w15:restartNumberingAfterBreak="0">
    <w:nsid w:val="046E1205"/>
    <w:multiLevelType w:val="multilevel"/>
    <w:tmpl w:val="FCC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3BA5"/>
    <w:multiLevelType w:val="multilevel"/>
    <w:tmpl w:val="DA6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C5E31"/>
    <w:multiLevelType w:val="multilevel"/>
    <w:tmpl w:val="8AF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13B"/>
    <w:multiLevelType w:val="multilevel"/>
    <w:tmpl w:val="6D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F7F2A"/>
    <w:multiLevelType w:val="multilevel"/>
    <w:tmpl w:val="9608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E139B"/>
    <w:multiLevelType w:val="multilevel"/>
    <w:tmpl w:val="986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91CA6"/>
    <w:multiLevelType w:val="multilevel"/>
    <w:tmpl w:val="738E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3082C"/>
    <w:multiLevelType w:val="multilevel"/>
    <w:tmpl w:val="4D1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B79D0"/>
    <w:multiLevelType w:val="hybridMultilevel"/>
    <w:tmpl w:val="EB2ED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6E10B3"/>
    <w:multiLevelType w:val="multilevel"/>
    <w:tmpl w:val="95D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20577"/>
    <w:multiLevelType w:val="multilevel"/>
    <w:tmpl w:val="B6C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47E89"/>
    <w:multiLevelType w:val="multilevel"/>
    <w:tmpl w:val="2C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A1A9C"/>
    <w:multiLevelType w:val="multilevel"/>
    <w:tmpl w:val="2B0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383C57"/>
    <w:multiLevelType w:val="multilevel"/>
    <w:tmpl w:val="2D0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B6063"/>
    <w:multiLevelType w:val="multilevel"/>
    <w:tmpl w:val="1DC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019A2"/>
    <w:multiLevelType w:val="multilevel"/>
    <w:tmpl w:val="09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009DC"/>
    <w:multiLevelType w:val="multilevel"/>
    <w:tmpl w:val="F6E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12017"/>
    <w:multiLevelType w:val="multilevel"/>
    <w:tmpl w:val="77C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B349C"/>
    <w:multiLevelType w:val="multilevel"/>
    <w:tmpl w:val="264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F7AF3"/>
    <w:multiLevelType w:val="multilevel"/>
    <w:tmpl w:val="197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26E9D"/>
    <w:multiLevelType w:val="hybridMultilevel"/>
    <w:tmpl w:val="9160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567C22"/>
    <w:multiLevelType w:val="multilevel"/>
    <w:tmpl w:val="C9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F4329"/>
    <w:multiLevelType w:val="multilevel"/>
    <w:tmpl w:val="7F1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66C61"/>
    <w:multiLevelType w:val="multilevel"/>
    <w:tmpl w:val="3C0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B0CB7"/>
    <w:multiLevelType w:val="multilevel"/>
    <w:tmpl w:val="E61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8256E"/>
    <w:multiLevelType w:val="multilevel"/>
    <w:tmpl w:val="3044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51124"/>
    <w:multiLevelType w:val="multilevel"/>
    <w:tmpl w:val="94D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353A7"/>
    <w:multiLevelType w:val="multilevel"/>
    <w:tmpl w:val="F81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55CE0"/>
    <w:multiLevelType w:val="multilevel"/>
    <w:tmpl w:val="796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864D4"/>
    <w:multiLevelType w:val="multilevel"/>
    <w:tmpl w:val="D1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680246"/>
    <w:multiLevelType w:val="multilevel"/>
    <w:tmpl w:val="D67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C94CCF"/>
    <w:multiLevelType w:val="multilevel"/>
    <w:tmpl w:val="C9C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A5F91"/>
    <w:multiLevelType w:val="multilevel"/>
    <w:tmpl w:val="17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DA378B"/>
    <w:multiLevelType w:val="multilevel"/>
    <w:tmpl w:val="16A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33E19"/>
    <w:multiLevelType w:val="multilevel"/>
    <w:tmpl w:val="311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
  </w:num>
  <w:num w:numId="4">
    <w:abstractNumId w:val="0"/>
  </w:num>
  <w:num w:numId="5">
    <w:abstractNumId w:val="21"/>
  </w:num>
  <w:num w:numId="6">
    <w:abstractNumId w:val="11"/>
  </w:num>
  <w:num w:numId="7">
    <w:abstractNumId w:val="1"/>
  </w:num>
  <w:num w:numId="8">
    <w:abstractNumId w:val="22"/>
  </w:num>
  <w:num w:numId="9">
    <w:abstractNumId w:val="34"/>
  </w:num>
  <w:num w:numId="10">
    <w:abstractNumId w:val="29"/>
  </w:num>
  <w:num w:numId="11">
    <w:abstractNumId w:val="15"/>
  </w:num>
  <w:num w:numId="12">
    <w:abstractNumId w:val="32"/>
  </w:num>
  <w:num w:numId="13">
    <w:abstractNumId w:val="17"/>
  </w:num>
  <w:num w:numId="14">
    <w:abstractNumId w:val="12"/>
  </w:num>
  <w:num w:numId="15">
    <w:abstractNumId w:val="8"/>
  </w:num>
  <w:num w:numId="16">
    <w:abstractNumId w:val="20"/>
  </w:num>
  <w:num w:numId="17">
    <w:abstractNumId w:val="24"/>
  </w:num>
  <w:num w:numId="18">
    <w:abstractNumId w:val="23"/>
  </w:num>
  <w:num w:numId="19">
    <w:abstractNumId w:val="30"/>
  </w:num>
  <w:num w:numId="20">
    <w:abstractNumId w:val="31"/>
  </w:num>
  <w:num w:numId="21">
    <w:abstractNumId w:val="5"/>
  </w:num>
  <w:num w:numId="22">
    <w:abstractNumId w:val="28"/>
  </w:num>
  <w:num w:numId="23">
    <w:abstractNumId w:val="3"/>
  </w:num>
  <w:num w:numId="24">
    <w:abstractNumId w:val="9"/>
  </w:num>
  <w:num w:numId="25">
    <w:abstractNumId w:val="7"/>
  </w:num>
  <w:num w:numId="26">
    <w:abstractNumId w:val="14"/>
  </w:num>
  <w:num w:numId="27">
    <w:abstractNumId w:val="10"/>
  </w:num>
  <w:num w:numId="28">
    <w:abstractNumId w:val="6"/>
  </w:num>
  <w:num w:numId="29">
    <w:abstractNumId w:val="26"/>
  </w:num>
  <w:num w:numId="30">
    <w:abstractNumId w:val="16"/>
  </w:num>
  <w:num w:numId="31">
    <w:abstractNumId w:val="25"/>
  </w:num>
  <w:num w:numId="32">
    <w:abstractNumId w:val="19"/>
  </w:num>
  <w:num w:numId="33">
    <w:abstractNumId w:val="4"/>
  </w:num>
  <w:num w:numId="34">
    <w:abstractNumId w:val="27"/>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037D11"/>
    <w:rsid w:val="000B7684"/>
    <w:rsid w:val="000F385D"/>
    <w:rsid w:val="00104FC1"/>
    <w:rsid w:val="001151BE"/>
    <w:rsid w:val="00172155"/>
    <w:rsid w:val="00172464"/>
    <w:rsid w:val="00172F23"/>
    <w:rsid w:val="00196451"/>
    <w:rsid w:val="001A70A0"/>
    <w:rsid w:val="00261648"/>
    <w:rsid w:val="00286791"/>
    <w:rsid w:val="002B71A6"/>
    <w:rsid w:val="002D2102"/>
    <w:rsid w:val="002D2437"/>
    <w:rsid w:val="00443A97"/>
    <w:rsid w:val="004563FB"/>
    <w:rsid w:val="004F27D8"/>
    <w:rsid w:val="005318DE"/>
    <w:rsid w:val="00540902"/>
    <w:rsid w:val="00543043"/>
    <w:rsid w:val="005E45B3"/>
    <w:rsid w:val="00683614"/>
    <w:rsid w:val="006D329A"/>
    <w:rsid w:val="006F56F7"/>
    <w:rsid w:val="007229EE"/>
    <w:rsid w:val="007409FC"/>
    <w:rsid w:val="00867033"/>
    <w:rsid w:val="008E3BC3"/>
    <w:rsid w:val="00997C7E"/>
    <w:rsid w:val="009D7972"/>
    <w:rsid w:val="00AC3B95"/>
    <w:rsid w:val="00AF183C"/>
    <w:rsid w:val="00B0682D"/>
    <w:rsid w:val="00B46ADD"/>
    <w:rsid w:val="00B634BE"/>
    <w:rsid w:val="00B764AC"/>
    <w:rsid w:val="00BB666E"/>
    <w:rsid w:val="00BC50DD"/>
    <w:rsid w:val="00BC6589"/>
    <w:rsid w:val="00C01D70"/>
    <w:rsid w:val="00CB1CAE"/>
    <w:rsid w:val="00CC29F5"/>
    <w:rsid w:val="00CD122F"/>
    <w:rsid w:val="00CD5D8E"/>
    <w:rsid w:val="00CE123F"/>
    <w:rsid w:val="00CF6961"/>
    <w:rsid w:val="00D97CF4"/>
    <w:rsid w:val="00E54ABB"/>
    <w:rsid w:val="00E6443C"/>
    <w:rsid w:val="00E664C3"/>
    <w:rsid w:val="00EA2E7F"/>
    <w:rsid w:val="00EC6FE9"/>
    <w:rsid w:val="00ED7953"/>
    <w:rsid w:val="00F078A8"/>
    <w:rsid w:val="00F23518"/>
    <w:rsid w:val="00F62F6F"/>
    <w:rsid w:val="00F70A4B"/>
    <w:rsid w:val="00F85CCB"/>
    <w:rsid w:val="00FA175D"/>
    <w:rsid w:val="00FC3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1659"/>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191040241">
      <w:bodyDiv w:val="1"/>
      <w:marLeft w:val="0"/>
      <w:marRight w:val="0"/>
      <w:marTop w:val="0"/>
      <w:marBottom w:val="0"/>
      <w:divBdr>
        <w:top w:val="none" w:sz="0" w:space="0" w:color="auto"/>
        <w:left w:val="none" w:sz="0" w:space="0" w:color="auto"/>
        <w:bottom w:val="none" w:sz="0" w:space="0" w:color="auto"/>
        <w:right w:val="none" w:sz="0" w:space="0" w:color="auto"/>
      </w:divBdr>
    </w:div>
    <w:div w:id="324864601">
      <w:bodyDiv w:val="1"/>
      <w:marLeft w:val="0"/>
      <w:marRight w:val="0"/>
      <w:marTop w:val="0"/>
      <w:marBottom w:val="0"/>
      <w:divBdr>
        <w:top w:val="none" w:sz="0" w:space="0" w:color="auto"/>
        <w:left w:val="none" w:sz="0" w:space="0" w:color="auto"/>
        <w:bottom w:val="none" w:sz="0" w:space="0" w:color="auto"/>
        <w:right w:val="none" w:sz="0" w:space="0" w:color="auto"/>
      </w:divBdr>
    </w:div>
    <w:div w:id="890186722">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2015916661">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69C6E-67B1-4277-9CA1-EF910CD5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23</cp:revision>
  <cp:lastPrinted>2025-03-11T04:24:00Z</cp:lastPrinted>
  <dcterms:created xsi:type="dcterms:W3CDTF">2025-03-07T23:16:00Z</dcterms:created>
  <dcterms:modified xsi:type="dcterms:W3CDTF">2025-03-30T00:17:00Z</dcterms:modified>
</cp:coreProperties>
</file>