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C3AED" w:sz="4"/>
        </w:pBdr>
        <w:spacing w:after="30"/>
      </w:pPr>
      <w:r>
        <w:rPr>
          <w:rFonts w:ascii="Calibri" w:cs="Calibri" w:eastAsia="Calibri" w:hAnsi="Calibri"/>
          <w:b/>
          <w:bCs/>
          <w:color w:val="7C3AED"/>
          <w:spacing w:val="40"/>
          <w:sz w:val="22"/>
          <w:szCs w:val="22"/>
        </w:rPr>
        <w:t xml:space="preserve">PIXORAMA</w:t>
      </w:r>
      <w:r>
        <w:rPr>
          <w:rFonts w:ascii="Calibri" w:cs="Calibri" w:eastAsia="Calibri" w:hAnsi="Calibri"/>
          <w:b/>
          <w:bCs/>
          <w:color w:val="B23FC9"/>
          <w:sz w:val="22"/>
          <w:szCs w:val="22"/>
        </w:rPr>
        <w:t xml:space="preserve">.</w:t>
      </w:r>
    </w:p>
    <w:p>
      <w:pPr>
        <w:spacing w:after="40" w:before="260"/>
      </w:pPr>
      <w:r>
        <w:rPr>
          <w:rFonts w:ascii="Consolas" w:cs="Consolas" w:eastAsia="Consolas" w:hAnsi="Consolas"/>
          <w:b/>
          <w:bCs/>
          <w:color w:val="0E9AAC"/>
          <w:spacing w:val="60"/>
          <w:sz w:val="16"/>
          <w:szCs w:val="16"/>
        </w:rPr>
        <w:t xml:space="preserve">STATEMENT OF WORK  ·  SOW-2026-011</w:t>
      </w:r>
    </w:p>
    <w:p>
      <w:pPr>
        <w:spacing w:after="60"/>
      </w:pPr>
      <w:r>
        <w:rPr>
          <w:rFonts w:ascii="Calibri" w:cs="Calibri" w:eastAsia="Calibri" w:hAnsi="Calibri"/>
          <w:b/>
          <w:bCs/>
          <w:color w:val="0D0E1A"/>
          <w:sz w:val="52"/>
          <w:szCs w:val="52"/>
        </w:rPr>
        <w:t xml:space="preserve">AI Device Inspector</w:t>
      </w:r>
    </w:p>
    <w:p>
      <w:pPr>
        <w:spacing w:after="200"/>
      </w:pPr>
      <w:r>
        <w:rPr>
          <w:rFonts w:ascii="Calibri" w:cs="Calibri" w:eastAsia="Calibri" w:hAnsi="Calibri"/>
          <w:b/>
          <w:bCs/>
          <w:color w:val="7C3AED"/>
          <w:sz w:val="32"/>
          <w:szCs w:val="32"/>
        </w:rPr>
        <w:t xml:space="preserve">Platform — Statement of Work</w:t>
      </w:r>
    </w:p>
    <w:p>
      <w:pPr>
        <w:spacing w:after="240"/>
      </w:pPr>
      <w:r>
        <w:rPr>
          <w:rFonts w:ascii="Calibri" w:cs="Calibri" w:eastAsia="Calibri" w:hAnsi="Calibri"/>
          <w:color w:val="33354A"/>
          <w:sz w:val="21"/>
          <w:szCs w:val="21"/>
        </w:rPr>
        <w:t xml:space="preserve">This Statement of Work sets out the deliverables, acceptance criteria, timeline, responsibilities and commercial terms for the design, build and delivery of the AI Device Inspector platform. It operationalises the accompanying platform proposal and, once signed, governs the engagement.</w:t>
      </w:r>
    </w:p>
    <w:tbl>
      <w:tblPr>
        <w:tblW w:type="dxa" w:w="9026"/>
        <w:tblBorders>
          <w:top w:val="single" w:color="D9DCEA" w:sz="4"/>
          <w:left w:val="none"/>
          <w:bottom w:val="single" w:color="D9DCEA" w:sz="4"/>
          <w:right w:val="none"/>
          <w:insideH w:val="single" w:color="D9DCEA" w:sz="4"/>
          <w:insideV w:val="none"/>
        </w:tblBorders>
      </w:tblPr>
      <w:tblGrid>
        <w:gridCol w:w="1500"/>
        <w:gridCol w:w="3013"/>
        <w:gridCol w:w="1500"/>
        <w:gridCol w:w="3013"/>
      </w:tblGrid>
      <w:tr>
        <w:trPr>
          <w:tblHeader/>
        </w:trPr>
        <w:tc>
          <w:tcPr>
            <w:tcW w:type="dxa" w:w="15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Field</w:t>
            </w:r>
          </w:p>
        </w:tc>
        <w:tc>
          <w:tcPr>
            <w:tcW w:type="dxa" w:w="3013"/>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Value</w:t>
            </w:r>
          </w:p>
        </w:tc>
        <w:tc>
          <w:tcPr>
            <w:tcW w:type="dxa" w:w="15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Field</w:t>
            </w:r>
          </w:p>
        </w:tc>
        <w:tc>
          <w:tcPr>
            <w:tcW w:type="dxa" w:w="3013"/>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Value</w:t>
            </w:r>
          </w:p>
        </w:tc>
      </w:tr>
      <w:tr>
        <w:tc>
          <w:tcPr>
            <w:tcW w:type="dxa" w:w="1500"/>
            <w:tcMar>
              <w:top w:type="dxa" w:w="70"/>
              <w:left w:type="dxa" w:w="110"/>
              <w:bottom w:type="dxa" w:w="70"/>
              <w:right w:type="dxa" w:w="110"/>
            </w:tcMar>
            <w:vAlign w:val="top"/>
          </w:tcPr>
          <w:p>
            <w:r>
              <w:rPr>
                <w:rFonts w:ascii="Consolas" w:cs="Consolas" w:eastAsia="Consolas" w:hAnsi="Consolas"/>
                <w:b/>
                <w:bCs/>
                <w:color w:val="6A6C83"/>
                <w:sz w:val="15"/>
                <w:szCs w:val="15"/>
              </w:rPr>
              <w:t xml:space="preserve">Client</w:t>
            </w:r>
          </w:p>
        </w:tc>
        <w:tc>
          <w:tcPr>
            <w:tcW w:type="dxa" w:w="3013"/>
            <w:tcMar>
              <w:top w:type="dxa" w:w="70"/>
              <w:left w:type="dxa" w:w="110"/>
              <w:bottom w:type="dxa" w:w="70"/>
              <w:right w:type="dxa" w:w="110"/>
            </w:tcMar>
            <w:vAlign w:val="top"/>
          </w:tcPr>
          <w:p>
            <w:r>
              <w:rPr>
                <w:rFonts w:ascii="Calibri" w:cs="Calibri" w:eastAsia="Calibri" w:hAnsi="Calibri"/>
                <w:b/>
                <w:bCs/>
                <w:color w:val="0D0E1A"/>
                <w:sz w:val="18"/>
                <w:szCs w:val="18"/>
              </w:rPr>
              <w:t xml:space="preserve">Hugo Martinez</w:t>
            </w:r>
          </w:p>
        </w:tc>
        <w:tc>
          <w:tcPr>
            <w:tcW w:type="dxa" w:w="1500"/>
            <w:tcMar>
              <w:top w:type="dxa" w:w="70"/>
              <w:left w:type="dxa" w:w="110"/>
              <w:bottom w:type="dxa" w:w="70"/>
              <w:right w:type="dxa" w:w="110"/>
            </w:tcMar>
            <w:vAlign w:val="top"/>
          </w:tcPr>
          <w:p>
            <w:r>
              <w:rPr>
                <w:rFonts w:ascii="Consolas" w:cs="Consolas" w:eastAsia="Consolas" w:hAnsi="Consolas"/>
                <w:b/>
                <w:bCs/>
                <w:color w:val="6A6C83"/>
                <w:sz w:val="15"/>
                <w:szCs w:val="15"/>
              </w:rPr>
              <w:t xml:space="preserve">Supplier</w:t>
            </w:r>
          </w:p>
        </w:tc>
        <w:tc>
          <w:tcPr>
            <w:tcW w:type="dxa" w:w="3013"/>
            <w:tcMar>
              <w:top w:type="dxa" w:w="70"/>
              <w:left w:type="dxa" w:w="110"/>
              <w:bottom w:type="dxa" w:w="70"/>
              <w:right w:type="dxa" w:w="110"/>
            </w:tcMar>
            <w:vAlign w:val="top"/>
          </w:tcPr>
          <w:p>
            <w:r>
              <w:rPr>
                <w:rFonts w:ascii="Calibri" w:cs="Calibri" w:eastAsia="Calibri" w:hAnsi="Calibri"/>
                <w:b/>
                <w:bCs/>
                <w:color w:val="0D0E1A"/>
                <w:sz w:val="18"/>
                <w:szCs w:val="18"/>
              </w:rPr>
              <w:t xml:space="preserve">Pixorama Group</w:t>
            </w:r>
          </w:p>
        </w:tc>
      </w:tr>
      <w:tr>
        <w:tc>
          <w:tcPr>
            <w:tcW w:type="dxa" w:w="1500"/>
            <w:tcMar>
              <w:top w:type="dxa" w:w="70"/>
              <w:left w:type="dxa" w:w="110"/>
              <w:bottom w:type="dxa" w:w="70"/>
              <w:right w:type="dxa" w:w="110"/>
            </w:tcMar>
            <w:vAlign w:val="top"/>
          </w:tcPr>
          <w:p>
            <w:r>
              <w:rPr>
                <w:rFonts w:ascii="Consolas" w:cs="Consolas" w:eastAsia="Consolas" w:hAnsi="Consolas"/>
                <w:b/>
                <w:bCs/>
                <w:color w:val="6A6C83"/>
                <w:sz w:val="15"/>
                <w:szCs w:val="15"/>
              </w:rPr>
              <w:t xml:space="preserve">Document</w:t>
            </w:r>
          </w:p>
        </w:tc>
        <w:tc>
          <w:tcPr>
            <w:tcW w:type="dxa" w:w="3013"/>
            <w:tcMar>
              <w:top w:type="dxa" w:w="70"/>
              <w:left w:type="dxa" w:w="110"/>
              <w:bottom w:type="dxa" w:w="70"/>
              <w:right w:type="dxa" w:w="110"/>
            </w:tcMar>
            <w:vAlign w:val="top"/>
          </w:tcPr>
          <w:p>
            <w:r>
              <w:rPr>
                <w:rFonts w:ascii="Calibri" w:cs="Calibri" w:eastAsia="Calibri" w:hAnsi="Calibri"/>
                <w:b/>
                <w:bCs/>
                <w:color w:val="0D0E1A"/>
                <w:sz w:val="18"/>
                <w:szCs w:val="18"/>
              </w:rPr>
              <w:t xml:space="preserve">SOW-2026-011 · v1.0</w:t>
            </w:r>
          </w:p>
        </w:tc>
        <w:tc>
          <w:tcPr>
            <w:tcW w:type="dxa" w:w="1500"/>
            <w:tcMar>
              <w:top w:type="dxa" w:w="70"/>
              <w:left w:type="dxa" w:w="110"/>
              <w:bottom w:type="dxa" w:w="70"/>
              <w:right w:type="dxa" w:w="110"/>
            </w:tcMar>
            <w:vAlign w:val="top"/>
          </w:tcPr>
          <w:p>
            <w:r>
              <w:rPr>
                <w:rFonts w:ascii="Consolas" w:cs="Consolas" w:eastAsia="Consolas" w:hAnsi="Consolas"/>
                <w:b/>
                <w:bCs/>
                <w:color w:val="6A6C83"/>
                <w:sz w:val="15"/>
                <w:szCs w:val="15"/>
              </w:rPr>
              <w:t xml:space="preserve">Date of issue</w:t>
            </w:r>
          </w:p>
        </w:tc>
        <w:tc>
          <w:tcPr>
            <w:tcW w:type="dxa" w:w="3013"/>
            <w:tcMar>
              <w:top w:type="dxa" w:w="70"/>
              <w:left w:type="dxa" w:w="110"/>
              <w:bottom w:type="dxa" w:w="70"/>
              <w:right w:type="dxa" w:w="110"/>
            </w:tcMar>
            <w:vAlign w:val="top"/>
          </w:tcPr>
          <w:p>
            <w:r>
              <w:rPr>
                <w:rFonts w:ascii="Calibri" w:cs="Calibri" w:eastAsia="Calibri" w:hAnsi="Calibri"/>
                <w:b/>
                <w:bCs/>
                <w:color w:val="0D0E1A"/>
                <w:sz w:val="18"/>
                <w:szCs w:val="18"/>
              </w:rPr>
              <w:t xml:space="preserve">24 July 2026</w:t>
            </w:r>
          </w:p>
        </w:tc>
      </w:tr>
      <w:tr>
        <w:tc>
          <w:tcPr>
            <w:tcW w:type="dxa" w:w="1500"/>
            <w:tcMar>
              <w:top w:type="dxa" w:w="70"/>
              <w:left w:type="dxa" w:w="110"/>
              <w:bottom w:type="dxa" w:w="70"/>
              <w:right w:type="dxa" w:w="110"/>
            </w:tcMar>
            <w:vAlign w:val="top"/>
          </w:tcPr>
          <w:p>
            <w:r>
              <w:rPr>
                <w:rFonts w:ascii="Consolas" w:cs="Consolas" w:eastAsia="Consolas" w:hAnsi="Consolas"/>
                <w:b/>
                <w:bCs/>
                <w:color w:val="6A6C83"/>
                <w:sz w:val="15"/>
                <w:szCs w:val="15"/>
              </w:rPr>
              <w:t xml:space="preserve">Engagement</w:t>
            </w:r>
          </w:p>
        </w:tc>
        <w:tc>
          <w:tcPr>
            <w:tcW w:type="dxa" w:w="3013"/>
            <w:tcMar>
              <w:top w:type="dxa" w:w="70"/>
              <w:left w:type="dxa" w:w="110"/>
              <w:bottom w:type="dxa" w:w="70"/>
              <w:right w:type="dxa" w:w="110"/>
            </w:tcMar>
            <w:vAlign w:val="top"/>
          </w:tcPr>
          <w:p>
            <w:r>
              <w:rPr>
                <w:rFonts w:ascii="Calibri" w:cs="Calibri" w:eastAsia="Calibri" w:hAnsi="Calibri"/>
                <w:b/>
                <w:bCs/>
                <w:color w:val="0D0E1A"/>
                <w:sz w:val="18"/>
                <w:szCs w:val="18"/>
              </w:rPr>
              <w:t xml:space="preserve">Fixed scope · 12 weeks</w:t>
            </w:r>
          </w:p>
        </w:tc>
        <w:tc>
          <w:tcPr>
            <w:tcW w:type="dxa" w:w="1500"/>
            <w:tcMar>
              <w:top w:type="dxa" w:w="70"/>
              <w:left w:type="dxa" w:w="110"/>
              <w:bottom w:type="dxa" w:w="70"/>
              <w:right w:type="dxa" w:w="110"/>
            </w:tcMar>
            <w:vAlign w:val="top"/>
          </w:tcPr>
          <w:p>
            <w:r>
              <w:rPr>
                <w:rFonts w:ascii="Consolas" w:cs="Consolas" w:eastAsia="Consolas" w:hAnsi="Consolas"/>
                <w:b/>
                <w:bCs/>
                <w:color w:val="6A6C83"/>
                <w:sz w:val="15"/>
                <w:szCs w:val="15"/>
              </w:rPr>
              <w:t xml:space="preserve">Related document</w:t>
            </w:r>
          </w:p>
        </w:tc>
        <w:tc>
          <w:tcPr>
            <w:tcW w:type="dxa" w:w="3013"/>
            <w:tcMar>
              <w:top w:type="dxa" w:w="70"/>
              <w:left w:type="dxa" w:w="110"/>
              <w:bottom w:type="dxa" w:w="70"/>
              <w:right w:type="dxa" w:w="110"/>
            </w:tcMar>
            <w:vAlign w:val="top"/>
          </w:tcPr>
          <w:p>
            <w:r>
              <w:rPr>
                <w:rFonts w:ascii="Calibri" w:cs="Calibri" w:eastAsia="Calibri" w:hAnsi="Calibri"/>
                <w:b/>
                <w:bCs/>
                <w:color w:val="0D0E1A"/>
                <w:sz w:val="18"/>
                <w:szCs w:val="18"/>
              </w:rPr>
              <w:t xml:space="preserve">AI Device Inspector — Platform Proposal</w:t>
            </w:r>
          </w:p>
        </w:tc>
      </w:tr>
    </w:tbl>
    <w:p>
      <w:pPr>
        <w:spacing w:before="120"/>
      </w:pPr>
      <w:r>
        <w:rPr>
          <w:rFonts w:ascii="Consolas" w:cs="Consolas" w:eastAsia="Consolas" w:hAnsi="Consolas"/>
          <w:b/>
          <w:bCs/>
          <w:color w:val="6A6C83"/>
          <w:sz w:val="15"/>
          <w:szCs w:val="15"/>
        </w:rPr>
        <w:t xml:space="preserve">Status:  </w:t>
      </w:r>
      <w:r>
        <w:rPr>
          <w:rFonts w:ascii="Calibri" w:cs="Calibri" w:eastAsia="Calibri" w:hAnsi="Calibri"/>
          <w:i/>
          <w:iCs/>
          <w:color w:val="33354A"/>
          <w:sz w:val="18"/>
          <w:szCs w:val="18"/>
        </w:rPr>
        <w:t xml:space="preserve">For review &amp; signature — prevails over prior scope discussions on execution.</w:t>
      </w:r>
    </w:p>
    <w:p>
      <w:r>
        <w:br w:type="page"/>
      </w:r>
    </w:p>
    <w:p>
      <w:pPr>
        <w:spacing w:after="120"/>
      </w:pPr>
      <w:r>
        <w:rPr>
          <w:rFonts w:ascii="Calibri" w:cs="Calibri" w:eastAsia="Calibri" w:hAnsi="Calibri"/>
          <w:b/>
          <w:bCs/>
          <w:color w:val="0D0E1A"/>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pacing w:after="40" w:before="60"/>
      </w:pPr>
      <w:r>
        <w:rPr>
          <w:rFonts w:ascii="Consolas" w:cs="Consolas" w:eastAsia="Consolas" w:hAnsi="Consolas"/>
          <w:b/>
          <w:bCs/>
          <w:color w:val="0E9AAC"/>
          <w:spacing w:val="60"/>
          <w:sz w:val="15"/>
          <w:szCs w:val="15"/>
        </w:rPr>
        <w:t xml:space="preserve">PURPOSE &amp; STRUCTURE</w:t>
      </w:r>
    </w:p>
    <w:p>
      <w:pPr>
        <w:pStyle w:val="Heading1"/>
        <w:spacing w:after="120" w:before="60"/>
      </w:pPr>
      <w:r>
        <w:rPr>
          <w:rFonts w:ascii="Consolas" w:cs="Consolas" w:eastAsia="Consolas" w:hAnsi="Consolas"/>
          <w:b/>
          <w:bCs/>
          <w:color w:val="7C3AED"/>
          <w:sz w:val="26"/>
          <w:szCs w:val="26"/>
        </w:rPr>
        <w:t xml:space="preserve">01  </w:t>
      </w:r>
      <w:r>
        <w:rPr>
          <w:rFonts w:ascii="Calibri" w:cs="Calibri" w:eastAsia="Calibri" w:hAnsi="Calibri"/>
          <w:b/>
          <w:bCs/>
          <w:color w:val="0D0E1A"/>
          <w:sz w:val="30"/>
          <w:szCs w:val="30"/>
        </w:rPr>
        <w:t xml:space="preserve">Introduction</w:t>
      </w:r>
    </w:p>
    <w:p>
      <w:pPr>
        <w:spacing w:after="140"/>
      </w:pPr>
      <w:r>
        <w:rPr>
          <w:rFonts w:ascii="Calibri" w:cs="Calibri" w:eastAsia="Calibri" w:hAnsi="Calibri"/>
          <w:color w:val="33354A"/>
          <w:sz w:val="21"/>
          <w:szCs w:val="21"/>
        </w:rPr>
        <w:t xml:space="preserve">This document is the definitive statement of what Pixorama will deliver, how each deliverable will be accepted, and the terms under which the work proceeds.</w:t>
      </w:r>
    </w:p>
    <w:p>
      <w:pPr>
        <w:spacing w:after="100"/>
      </w:pPr>
      <w:r>
        <w:rPr>
          <w:rFonts w:ascii="Calibri" w:cs="Calibri" w:eastAsia="Calibri" w:hAnsi="Calibri"/>
          <w:color w:val="33354A"/>
          <w:sz w:val="20"/>
          <w:szCs w:val="20"/>
        </w:rPr>
        <w:t xml:space="preserve">Where this Statement of Work and the platform proposal differ, this document prevails on matters of scope, acceptance, schedule and commercials. Anything not expressly listed as in scope in Section 05 or 06 is out of scope and is handled through the change-control process in Section 14.</w:t>
      </w:r>
    </w:p>
    <w:p>
      <w:pPr>
        <w:pStyle w:val="Heading2"/>
        <w:spacing w:after="90" w:before="220"/>
      </w:pPr>
      <w:r>
        <w:rPr>
          <w:rFonts w:ascii="Calibri" w:cs="Calibri" w:eastAsia="Calibri" w:hAnsi="Calibri"/>
          <w:b/>
          <w:bCs/>
          <w:color w:val="0D0E1A"/>
          <w:sz w:val="21"/>
          <w:szCs w:val="21"/>
        </w:rPr>
        <w:t xml:space="preserve">How this document is organised</w:t>
      </w:r>
    </w:p>
    <w:p>
      <w:pPr>
        <w:spacing w:after="110"/>
      </w:pPr>
      <w:r>
        <w:rPr>
          <w:rFonts w:ascii="Consolas" w:cs="Consolas" w:eastAsia="Consolas" w:hAnsi="Consolas"/>
          <w:b/>
          <w:bCs/>
          <w:color w:val="7C3AED"/>
          <w:sz w:val="16"/>
          <w:szCs w:val="16"/>
        </w:rPr>
        <w:t xml:space="preserve">01   </w:t>
      </w:r>
      <w:r>
        <w:rPr>
          <w:rFonts w:ascii="Calibri" w:cs="Calibri" w:eastAsia="Calibri" w:hAnsi="Calibri"/>
          <w:b/>
          <w:bCs/>
          <w:color w:val="0D0E1A"/>
          <w:sz w:val="20"/>
          <w:szCs w:val="20"/>
        </w:rPr>
        <w:t xml:space="preserve">Scope  </w:t>
      </w:r>
      <w:r>
        <w:rPr>
          <w:rFonts w:ascii="Calibri" w:cs="Calibri" w:eastAsia="Calibri" w:hAnsi="Calibri"/>
          <w:color w:val="33354A"/>
          <w:sz w:val="20"/>
          <w:szCs w:val="20"/>
        </w:rPr>
        <w:t xml:space="preserve">Sections 04-06 define exactly what is built; Section 07 states what is not.</w:t>
      </w:r>
    </w:p>
    <w:p>
      <w:pPr>
        <w:spacing w:after="110"/>
      </w:pPr>
      <w:r>
        <w:rPr>
          <w:rFonts w:ascii="Consolas" w:cs="Consolas" w:eastAsia="Consolas" w:hAnsi="Consolas"/>
          <w:b/>
          <w:bCs/>
          <w:color w:val="7C3AED"/>
          <w:sz w:val="16"/>
          <w:szCs w:val="16"/>
        </w:rPr>
        <w:t xml:space="preserve">02   </w:t>
      </w:r>
      <w:r>
        <w:rPr>
          <w:rFonts w:ascii="Calibri" w:cs="Calibri" w:eastAsia="Calibri" w:hAnsi="Calibri"/>
          <w:b/>
          <w:bCs/>
          <w:color w:val="0D0E1A"/>
          <w:sz w:val="20"/>
          <w:szCs w:val="20"/>
        </w:rPr>
        <w:t xml:space="preserve">Delivery  </w:t>
      </w:r>
      <w:r>
        <w:rPr>
          <w:rFonts w:ascii="Calibri" w:cs="Calibri" w:eastAsia="Calibri" w:hAnsi="Calibri"/>
          <w:color w:val="33354A"/>
          <w:sz w:val="20"/>
          <w:szCs w:val="20"/>
        </w:rPr>
        <w:t xml:space="preserve">Sections 10-11 set the method, timeline and milestones.</w:t>
      </w:r>
    </w:p>
    <w:p>
      <w:pPr>
        <w:spacing w:after="110"/>
      </w:pPr>
      <w:r>
        <w:rPr>
          <w:rFonts w:ascii="Consolas" w:cs="Consolas" w:eastAsia="Consolas" w:hAnsi="Consolas"/>
          <w:b/>
          <w:bCs/>
          <w:color w:val="7C3AED"/>
          <w:sz w:val="16"/>
          <w:szCs w:val="16"/>
        </w:rPr>
        <w:t xml:space="preserve">03   </w:t>
      </w:r>
      <w:r>
        <w:rPr>
          <w:rFonts w:ascii="Calibri" w:cs="Calibri" w:eastAsia="Calibri" w:hAnsi="Calibri"/>
          <w:b/>
          <w:bCs/>
          <w:color w:val="0D0E1A"/>
          <w:sz w:val="20"/>
          <w:szCs w:val="20"/>
        </w:rPr>
        <w:t xml:space="preserve">Acceptance  </w:t>
      </w:r>
      <w:r>
        <w:rPr>
          <w:rFonts w:ascii="Calibri" w:cs="Calibri" w:eastAsia="Calibri" w:hAnsi="Calibri"/>
          <w:color w:val="33354A"/>
          <w:sz w:val="20"/>
          <w:szCs w:val="20"/>
        </w:rPr>
        <w:t xml:space="preserve">Sections 12-13 define how deliverables are tested and signed off.</w:t>
      </w:r>
    </w:p>
    <w:p>
      <w:pPr>
        <w:spacing w:after="110"/>
      </w:pPr>
      <w:r>
        <w:rPr>
          <w:rFonts w:ascii="Consolas" w:cs="Consolas" w:eastAsia="Consolas" w:hAnsi="Consolas"/>
          <w:b/>
          <w:bCs/>
          <w:color w:val="7C3AED"/>
          <w:sz w:val="16"/>
          <w:szCs w:val="16"/>
        </w:rPr>
        <w:t xml:space="preserve">04   </w:t>
      </w:r>
      <w:r>
        <w:rPr>
          <w:rFonts w:ascii="Calibri" w:cs="Calibri" w:eastAsia="Calibri" w:hAnsi="Calibri"/>
          <w:b/>
          <w:bCs/>
          <w:color w:val="0D0E1A"/>
          <w:sz w:val="20"/>
          <w:szCs w:val="20"/>
        </w:rPr>
        <w:t xml:space="preserve">Commercials  </w:t>
      </w:r>
      <w:r>
        <w:rPr>
          <w:rFonts w:ascii="Calibri" w:cs="Calibri" w:eastAsia="Calibri" w:hAnsi="Calibri"/>
          <w:color w:val="33354A"/>
          <w:sz w:val="20"/>
          <w:szCs w:val="20"/>
        </w:rPr>
        <w:t xml:space="preserve">Sections 14-16 govern change, payment and warranty.</w:t>
      </w:r>
    </w:p>
    <w:p>
      <w:pPr>
        <w:spacing w:after="40" w:before="60"/>
      </w:pPr>
      <w:r>
        <w:rPr>
          <w:rFonts w:ascii="Consolas" w:cs="Consolas" w:eastAsia="Consolas" w:hAnsi="Consolas"/>
          <w:b/>
          <w:bCs/>
          <w:color w:val="0E9AAC"/>
          <w:spacing w:val="60"/>
          <w:sz w:val="15"/>
          <w:szCs w:val="15"/>
        </w:rPr>
        <w:t xml:space="preserve">TERMS</w:t>
      </w:r>
    </w:p>
    <w:p>
      <w:pPr>
        <w:pStyle w:val="Heading1"/>
        <w:spacing w:after="120" w:before="60"/>
      </w:pPr>
      <w:r>
        <w:rPr>
          <w:rFonts w:ascii="Consolas" w:cs="Consolas" w:eastAsia="Consolas" w:hAnsi="Consolas"/>
          <w:b/>
          <w:bCs/>
          <w:color w:val="7C3AED"/>
          <w:sz w:val="26"/>
          <w:szCs w:val="26"/>
        </w:rPr>
        <w:t xml:space="preserve">02  </w:t>
      </w:r>
      <w:r>
        <w:rPr>
          <w:rFonts w:ascii="Calibri" w:cs="Calibri" w:eastAsia="Calibri" w:hAnsi="Calibri"/>
          <w:b/>
          <w:bCs/>
          <w:color w:val="0D0E1A"/>
          <w:sz w:val="30"/>
          <w:szCs w:val="30"/>
        </w:rPr>
        <w:t xml:space="preserve">Definitions</w:t>
      </w:r>
    </w:p>
    <w:p>
      <w:pPr>
        <w:spacing w:after="140"/>
      </w:pPr>
      <w:r>
        <w:rPr>
          <w:rFonts w:ascii="Calibri" w:cs="Calibri" w:eastAsia="Calibri" w:hAnsi="Calibri"/>
          <w:color w:val="33354A"/>
          <w:sz w:val="20"/>
          <w:szCs w:val="20"/>
        </w:rPr>
        <w:t xml:space="preserve">Capitalised terms used throughout this document carry the meanings below.</w:t>
      </w:r>
    </w:p>
    <w:p>
      <w:pPr>
        <w:spacing w:after="70"/>
      </w:pPr>
      <w:r>
        <w:rPr>
          <w:rFonts w:ascii="Calibri" w:cs="Calibri" w:eastAsia="Calibri" w:hAnsi="Calibri"/>
          <w:b/>
          <w:bCs/>
          <w:color w:val="0D0E1A"/>
          <w:sz w:val="20"/>
          <w:szCs w:val="20"/>
        </w:rPr>
        <w:t xml:space="preserve">Platform — </w:t>
      </w:r>
      <w:r>
        <w:rPr>
          <w:rFonts w:ascii="Calibri" w:cs="Calibri" w:eastAsia="Calibri" w:hAnsi="Calibri"/>
          <w:color w:val="33354A"/>
          <w:sz w:val="20"/>
          <w:szCs w:val="20"/>
        </w:rPr>
        <w:t xml:space="preserve">The AI Device Inspector software system described in Sections 04-06, in all its surfaces (station kiosk, back-office application, client portal) and services.</w:t>
      </w:r>
    </w:p>
    <w:p>
      <w:pPr>
        <w:spacing w:after="70"/>
      </w:pPr>
      <w:r>
        <w:rPr>
          <w:rFonts w:ascii="Calibri" w:cs="Calibri" w:eastAsia="Calibri" w:hAnsi="Calibri"/>
          <w:b/>
          <w:bCs/>
          <w:color w:val="0D0E1A"/>
          <w:sz w:val="20"/>
          <w:szCs w:val="20"/>
        </w:rPr>
        <w:t xml:space="preserve">Deliverable — </w:t>
      </w:r>
      <w:r>
        <w:rPr>
          <w:rFonts w:ascii="Calibri" w:cs="Calibri" w:eastAsia="Calibri" w:hAnsi="Calibri"/>
          <w:color w:val="33354A"/>
          <w:sz w:val="20"/>
          <w:szCs w:val="20"/>
        </w:rPr>
        <w:t xml:space="preserve">A discrete, identified output listed in Section 05 or 06, each with its own acceptance basis.</w:t>
      </w:r>
    </w:p>
    <w:p>
      <w:pPr>
        <w:spacing w:after="70"/>
      </w:pPr>
      <w:r>
        <w:rPr>
          <w:rFonts w:ascii="Calibri" w:cs="Calibri" w:eastAsia="Calibri" w:hAnsi="Calibri"/>
          <w:b/>
          <w:bCs/>
          <w:color w:val="0D0E1A"/>
          <w:sz w:val="20"/>
          <w:szCs w:val="20"/>
        </w:rPr>
        <w:t xml:space="preserve">Edge Node — </w:t>
      </w:r>
      <w:r>
        <w:rPr>
          <w:rFonts w:ascii="Calibri" w:cs="Calibri" w:eastAsia="Calibri" w:hAnsi="Calibri"/>
          <w:color w:val="33354A"/>
          <w:sz w:val="20"/>
          <w:szCs w:val="20"/>
        </w:rPr>
        <w:t xml:space="preserve">The on-site hardware and software that owns the cameras and runs inference at a facility.</w:t>
      </w:r>
    </w:p>
    <w:p>
      <w:pPr>
        <w:spacing w:after="70"/>
      </w:pPr>
      <w:r>
        <w:rPr>
          <w:rFonts w:ascii="Calibri" w:cs="Calibri" w:eastAsia="Calibri" w:hAnsi="Calibri"/>
          <w:b/>
          <w:bCs/>
          <w:color w:val="0D0E1A"/>
          <w:sz w:val="20"/>
          <w:szCs w:val="20"/>
        </w:rPr>
        <w:t xml:space="preserve">Detection — </w:t>
      </w:r>
      <w:r>
        <w:rPr>
          <w:rFonts w:ascii="Calibri" w:cs="Calibri" w:eastAsia="Calibri" w:hAnsi="Calibri"/>
          <w:color w:val="33354A"/>
          <w:sz w:val="20"/>
          <w:szCs w:val="20"/>
        </w:rPr>
        <w:t xml:space="preserve">A single defect identified by the model on a captured image, with class, confidence, severity and region.</w:t>
      </w:r>
    </w:p>
    <w:p>
      <w:pPr>
        <w:spacing w:after="70"/>
      </w:pPr>
      <w:r>
        <w:rPr>
          <w:rFonts w:ascii="Calibri" w:cs="Calibri" w:eastAsia="Calibri" w:hAnsi="Calibri"/>
          <w:b/>
          <w:bCs/>
          <w:color w:val="0D0E1A"/>
          <w:sz w:val="20"/>
          <w:szCs w:val="20"/>
        </w:rPr>
        <w:t xml:space="preserve">Grade Profile — </w:t>
      </w:r>
      <w:r>
        <w:rPr>
          <w:rFonts w:ascii="Calibri" w:cs="Calibri" w:eastAsia="Calibri" w:hAnsi="Calibri"/>
          <w:color w:val="33354A"/>
          <w:sz w:val="20"/>
          <w:szCs w:val="20"/>
        </w:rPr>
        <w:t xml:space="preserve">A configurable, versioned rule set that converts a confirmed defect set into a commercial grade for a given buyer.</w:t>
      </w:r>
    </w:p>
    <w:p>
      <w:pPr>
        <w:spacing w:after="70"/>
      </w:pPr>
      <w:r>
        <w:rPr>
          <w:rFonts w:ascii="Calibri" w:cs="Calibri" w:eastAsia="Calibri" w:hAnsi="Calibri"/>
          <w:b/>
          <w:bCs/>
          <w:color w:val="0D0E1A"/>
          <w:sz w:val="20"/>
          <w:szCs w:val="20"/>
        </w:rPr>
        <w:t xml:space="preserve">Holdout Set — </w:t>
      </w:r>
      <w:r>
        <w:rPr>
          <w:rFonts w:ascii="Calibri" w:cs="Calibri" w:eastAsia="Calibri" w:hAnsi="Calibri"/>
          <w:color w:val="33354A"/>
          <w:sz w:val="20"/>
          <w:szCs w:val="20"/>
        </w:rPr>
        <w:t xml:space="preserve">A frozen, labelled sample of images used once to measure model accuracy and never used for training.</w:t>
      </w:r>
    </w:p>
    <w:p>
      <w:pPr>
        <w:spacing w:after="70"/>
      </w:pPr>
      <w:r>
        <w:rPr>
          <w:rFonts w:ascii="Calibri" w:cs="Calibri" w:eastAsia="Calibri" w:hAnsi="Calibri"/>
          <w:b/>
          <w:bCs/>
          <w:color w:val="0D0E1A"/>
          <w:sz w:val="20"/>
          <w:szCs w:val="20"/>
        </w:rPr>
        <w:t xml:space="preserve">UAT — </w:t>
      </w:r>
      <w:r>
        <w:rPr>
          <w:rFonts w:ascii="Calibri" w:cs="Calibri" w:eastAsia="Calibri" w:hAnsi="Calibri"/>
          <w:color w:val="33354A"/>
          <w:sz w:val="20"/>
          <w:szCs w:val="20"/>
        </w:rPr>
        <w:t xml:space="preserve">User Acceptance Testing — structured testing performed by the Client's own operators and supervisors against agreed scripts.</w:t>
      </w:r>
    </w:p>
    <w:p>
      <w:pPr>
        <w:spacing w:after="70"/>
      </w:pPr>
      <w:r>
        <w:rPr>
          <w:rFonts w:ascii="Calibri" w:cs="Calibri" w:eastAsia="Calibri" w:hAnsi="Calibri"/>
          <w:b/>
          <w:bCs/>
          <w:color w:val="0D0E1A"/>
          <w:sz w:val="20"/>
          <w:szCs w:val="20"/>
        </w:rPr>
        <w:t xml:space="preserve">Go-Live — </w:t>
      </w:r>
      <w:r>
        <w:rPr>
          <w:rFonts w:ascii="Calibri" w:cs="Calibri" w:eastAsia="Calibri" w:hAnsi="Calibri"/>
          <w:color w:val="33354A"/>
          <w:sz w:val="20"/>
          <w:szCs w:val="20"/>
        </w:rPr>
        <w:t xml:space="preserve">The point at which the Platform is used to process live production stock on at least one line.</w:t>
      </w:r>
    </w:p>
    <w:p>
      <w:pPr>
        <w:spacing w:after="70"/>
      </w:pPr>
      <w:r>
        <w:rPr>
          <w:rFonts w:ascii="Calibri" w:cs="Calibri" w:eastAsia="Calibri" w:hAnsi="Calibri"/>
          <w:b/>
          <w:bCs/>
          <w:color w:val="0D0E1A"/>
          <w:sz w:val="20"/>
          <w:szCs w:val="20"/>
        </w:rPr>
        <w:t xml:space="preserve">Business Day — </w:t>
      </w:r>
      <w:r>
        <w:rPr>
          <w:rFonts w:ascii="Calibri" w:cs="Calibri" w:eastAsia="Calibri" w:hAnsi="Calibri"/>
          <w:color w:val="33354A"/>
          <w:sz w:val="20"/>
          <w:szCs w:val="20"/>
        </w:rPr>
        <w:t xml:space="preserve">Monday to Friday excluding public holidays in the Client's jurisdiction.</w:t>
      </w:r>
    </w:p>
    <w:p>
      <w:pPr>
        <w:spacing w:after="40" w:before="60"/>
      </w:pPr>
      <w:r>
        <w:rPr>
          <w:rFonts w:ascii="Consolas" w:cs="Consolas" w:eastAsia="Consolas" w:hAnsi="Consolas"/>
          <w:b/>
          <w:bCs/>
          <w:color w:val="0E9AAC"/>
          <w:spacing w:val="60"/>
          <w:sz w:val="15"/>
          <w:szCs w:val="15"/>
        </w:rPr>
        <w:t xml:space="preserve">WHY</w:t>
      </w:r>
    </w:p>
    <w:p>
      <w:pPr>
        <w:pStyle w:val="Heading1"/>
        <w:spacing w:after="120" w:before="60"/>
      </w:pPr>
      <w:r>
        <w:rPr>
          <w:rFonts w:ascii="Consolas" w:cs="Consolas" w:eastAsia="Consolas" w:hAnsi="Consolas"/>
          <w:b/>
          <w:bCs/>
          <w:color w:val="7C3AED"/>
          <w:sz w:val="26"/>
          <w:szCs w:val="26"/>
        </w:rPr>
        <w:t xml:space="preserve">03  </w:t>
      </w:r>
      <w:r>
        <w:rPr>
          <w:rFonts w:ascii="Calibri" w:cs="Calibri" w:eastAsia="Calibri" w:hAnsi="Calibri"/>
          <w:b/>
          <w:bCs/>
          <w:color w:val="0D0E1A"/>
          <w:sz w:val="30"/>
          <w:szCs w:val="30"/>
        </w:rPr>
        <w:t xml:space="preserve">Project objectives</w:t>
      </w:r>
    </w:p>
    <w:p>
      <w:pPr>
        <w:spacing w:after="140"/>
      </w:pPr>
      <w:r>
        <w:rPr>
          <w:rFonts w:ascii="Calibri" w:cs="Calibri" w:eastAsia="Calibri" w:hAnsi="Calibri"/>
          <w:color w:val="33354A"/>
          <w:sz w:val="21"/>
          <w:szCs w:val="21"/>
        </w:rPr>
        <w:t xml:space="preserve">The Platform is accepted as meeting its purpose when it delivers against these objectives, evidenced by the acceptance criteria in Sections 12-13.</w:t>
      </w:r>
    </w:p>
    <w:p>
      <w:pPr>
        <w:pStyle w:val="ListParagraph"/>
        <w:numPr>
          <w:ilvl w:val="0"/>
          <w:numId w:val="1"/>
        </w:numPr>
        <w:spacing w:after="50"/>
      </w:pPr>
      <w:r>
        <w:rPr>
          <w:rFonts w:ascii="Calibri" w:cs="Calibri" w:eastAsia="Calibri" w:hAnsi="Calibri"/>
          <w:color w:val="33354A"/>
          <w:sz w:val="20"/>
          <w:szCs w:val="20"/>
        </w:rPr>
        <w:t xml:space="preserve">Consistent grading — one model and one rule set applied to every device, independent of operator or shift.</w:t>
      </w:r>
    </w:p>
    <w:p>
      <w:pPr>
        <w:pStyle w:val="ListParagraph"/>
        <w:numPr>
          <w:ilvl w:val="0"/>
          <w:numId w:val="1"/>
        </w:numPr>
        <w:spacing w:after="50"/>
      </w:pPr>
      <w:r>
        <w:rPr>
          <w:rFonts w:ascii="Calibri" w:cs="Calibri" w:eastAsia="Calibri" w:hAnsi="Calibri"/>
          <w:color w:val="33354A"/>
          <w:sz w:val="20"/>
          <w:szCs w:val="20"/>
        </w:rPr>
        <w:t xml:space="preserve">Speed — capture-to-grade in under 60 seconds per device on the target hardware.</w:t>
      </w:r>
    </w:p>
    <w:p>
      <w:pPr>
        <w:pStyle w:val="ListParagraph"/>
        <w:numPr>
          <w:ilvl w:val="0"/>
          <w:numId w:val="1"/>
        </w:numPr>
        <w:spacing w:after="50"/>
      </w:pPr>
      <w:r>
        <w:rPr>
          <w:rFonts w:ascii="Calibri" w:cs="Calibri" w:eastAsia="Calibri" w:hAnsi="Calibri"/>
          <w:color w:val="33354A"/>
          <w:sz w:val="20"/>
          <w:szCs w:val="20"/>
        </w:rPr>
        <w:t xml:space="preserve">Defensibility — every grade backed by photographs, a defect map and a complete audit trail.</w:t>
      </w:r>
    </w:p>
    <w:p>
      <w:pPr>
        <w:pStyle w:val="ListParagraph"/>
        <w:numPr>
          <w:ilvl w:val="0"/>
          <w:numId w:val="1"/>
        </w:numPr>
        <w:spacing w:after="50"/>
      </w:pPr>
      <w:r>
        <w:rPr>
          <w:rFonts w:ascii="Calibri" w:cs="Calibri" w:eastAsia="Calibri" w:hAnsi="Calibri"/>
          <w:color w:val="33354A"/>
          <w:sz w:val="20"/>
          <w:szCs w:val="20"/>
        </w:rPr>
        <w:t xml:space="preserve">Measurable accuracy — detection performance proven against a frozen holdout set to an agreed threshold.</w:t>
      </w:r>
    </w:p>
    <w:p>
      <w:pPr>
        <w:pStyle w:val="ListParagraph"/>
        <w:numPr>
          <w:ilvl w:val="0"/>
          <w:numId w:val="1"/>
        </w:numPr>
        <w:spacing w:after="50"/>
      </w:pPr>
      <w:r>
        <w:rPr>
          <w:rFonts w:ascii="Calibri" w:cs="Calibri" w:eastAsia="Calibri" w:hAnsi="Calibri"/>
          <w:color w:val="33354A"/>
          <w:sz w:val="20"/>
          <w:szCs w:val="20"/>
        </w:rPr>
        <w:t xml:space="preserve">Operational visibility — throughput, yield and defect trends visible to supervisors and administrators.</w:t>
      </w:r>
    </w:p>
    <w:p>
      <w:pPr>
        <w:pStyle w:val="ListParagraph"/>
        <w:numPr>
          <w:ilvl w:val="0"/>
          <w:numId w:val="1"/>
        </w:numPr>
        <w:spacing w:after="50"/>
      </w:pPr>
      <w:r>
        <w:rPr>
          <w:rFonts w:ascii="Calibri" w:cs="Calibri" w:eastAsia="Calibri" w:hAnsi="Calibri"/>
          <w:color w:val="33354A"/>
          <w:sz w:val="20"/>
          <w:szCs w:val="20"/>
        </w:rPr>
        <w:t xml:space="preserve">Integration — records flow to the Client's existing systems without manual re-keying.</w:t>
      </w:r>
    </w:p>
    <w:p>
      <w:pPr>
        <w:spacing w:after="40" w:before="60"/>
      </w:pPr>
      <w:r>
        <w:rPr>
          <w:rFonts w:ascii="Consolas" w:cs="Consolas" w:eastAsia="Consolas" w:hAnsi="Consolas"/>
          <w:b/>
          <w:bCs/>
          <w:color w:val="0E9AAC"/>
          <w:spacing w:val="60"/>
          <w:sz w:val="15"/>
          <w:szCs w:val="15"/>
        </w:rPr>
        <w:t xml:space="preserve">WHAT IS BEING BUILT</w:t>
      </w:r>
    </w:p>
    <w:p>
      <w:pPr>
        <w:pStyle w:val="Heading1"/>
        <w:spacing w:after="120" w:before="60"/>
      </w:pPr>
      <w:r>
        <w:rPr>
          <w:rFonts w:ascii="Consolas" w:cs="Consolas" w:eastAsia="Consolas" w:hAnsi="Consolas"/>
          <w:b/>
          <w:bCs/>
          <w:color w:val="7C3AED"/>
          <w:sz w:val="26"/>
          <w:szCs w:val="26"/>
        </w:rPr>
        <w:t xml:space="preserve">04  </w:t>
      </w:r>
      <w:r>
        <w:rPr>
          <w:rFonts w:ascii="Calibri" w:cs="Calibri" w:eastAsia="Calibri" w:hAnsi="Calibri"/>
          <w:b/>
          <w:bCs/>
          <w:color w:val="0D0E1A"/>
          <w:sz w:val="30"/>
          <w:szCs w:val="30"/>
        </w:rPr>
        <w:t xml:space="preserve">Scope overview</w:t>
      </w:r>
    </w:p>
    <w:p>
      <w:pPr>
        <w:spacing w:after="140"/>
      </w:pPr>
      <w:r>
        <w:rPr>
          <w:rFonts w:ascii="Calibri" w:cs="Calibri" w:eastAsia="Calibri" w:hAnsi="Calibri"/>
          <w:color w:val="33354A"/>
          <w:sz w:val="21"/>
          <w:szCs w:val="21"/>
        </w:rPr>
        <w:t xml:space="preserve">The engagement delivers a production-ready, multi-tenant platform of 12 functional modules comprising 60 features, organised for delivery into six workstreams, plus the AI model, infrastructure and documentation.</w:t>
      </w:r>
    </w:p>
    <w:p>
      <w:pPr>
        <w:spacing w:after="120"/>
      </w:pPr>
      <w:r>
        <w:rPr>
          <w:rFonts w:ascii="Calibri" w:cs="Calibri" w:eastAsia="Calibri" w:hAnsi="Calibri"/>
          <w:color w:val="33354A"/>
          <w:sz w:val="20"/>
          <w:szCs w:val="20"/>
        </w:rPr>
        <w:t xml:space="preserve">The detailed deliverables follow in Section 05; the technical deliverables in Section 06.</w:t>
      </w:r>
    </w:p>
    <w:tbl>
      <w:tblPr>
        <w:tblW w:type="dxa" w:w="9026"/>
        <w:tblBorders>
          <w:top w:val="single" w:color="D9DCEA" w:sz="4"/>
          <w:left w:val="none"/>
          <w:bottom w:val="single" w:color="D9DCEA" w:sz="4"/>
          <w:right w:val="none"/>
          <w:insideH w:val="single" w:color="D9DCEA" w:sz="4"/>
          <w:insideV w:val="none"/>
        </w:tblBorders>
      </w:tblPr>
      <w:tblGrid>
        <w:gridCol w:w="1400"/>
        <w:gridCol w:w="7626"/>
      </w:tblGrid>
      <w:tr>
        <w:trPr>
          <w:tblHeader/>
        </w:trPr>
        <w:tc>
          <w:tcPr>
            <w:tcW w:type="dxa" w:w="14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Workstream</w:t>
            </w:r>
          </w:p>
        </w:tc>
        <w:tc>
          <w:tcPr>
            <w:tcW w:type="dxa" w:w="76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Covers</w:t>
            </w:r>
          </w:p>
        </w:tc>
      </w:tr>
      <w:tr>
        <w:tc>
          <w:tcPr>
            <w:tcW w:type="dxa" w:w="1400"/>
            <w:tcMar>
              <w:top w:type="dxa" w:w="70"/>
              <w:left w:type="dxa" w:w="110"/>
              <w:bottom w:type="dxa" w:w="70"/>
              <w:right w:type="dxa" w:w="110"/>
            </w:tcMar>
            <w:vAlign w:val="top"/>
          </w:tcPr>
          <w:p>
            <w:r>
              <w:rPr>
                <w:rFonts w:ascii="Consolas" w:cs="Consolas" w:eastAsia="Consolas" w:hAnsi="Consolas"/>
                <w:b/>
                <w:bCs/>
                <w:color w:val="7C3AED"/>
                <w:sz w:val="16"/>
                <w:szCs w:val="16"/>
              </w:rPr>
              <w:t xml:space="preserve">WS1 · Foundations</w:t>
            </w:r>
          </w:p>
        </w:tc>
        <w:tc>
          <w:tcPr>
            <w:tcW w:type="dxa" w:w="76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Access, roles, tenancy, environments, design system, app shell.</w:t>
            </w:r>
          </w:p>
        </w:tc>
      </w:tr>
      <w:tr>
        <w:tc>
          <w:tcPr>
            <w:tcW w:type="dxa" w:w="1400"/>
            <w:tcMar>
              <w:top w:type="dxa" w:w="70"/>
              <w:left w:type="dxa" w:w="110"/>
              <w:bottom w:type="dxa" w:w="70"/>
              <w:right w:type="dxa" w:w="110"/>
            </w:tcMar>
            <w:vAlign w:val="top"/>
          </w:tcPr>
          <w:p>
            <w:r>
              <w:rPr>
                <w:rFonts w:ascii="Consolas" w:cs="Consolas" w:eastAsia="Consolas" w:hAnsi="Consolas"/>
                <w:b/>
                <w:bCs/>
                <w:color w:val="7C3AED"/>
                <w:sz w:val="16"/>
                <w:szCs w:val="16"/>
              </w:rPr>
              <w:t xml:space="preserve">WS2 · Capture</w:t>
            </w:r>
          </w:p>
        </w:tc>
        <w:tc>
          <w:tcPr>
            <w:tcW w:type="dxa" w:w="76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Inspection station and the six-angle capture workflow.</w:t>
            </w:r>
          </w:p>
        </w:tc>
      </w:tr>
      <w:tr>
        <w:tc>
          <w:tcPr>
            <w:tcW w:type="dxa" w:w="1400"/>
            <w:tcMar>
              <w:top w:type="dxa" w:w="70"/>
              <w:left w:type="dxa" w:w="110"/>
              <w:bottom w:type="dxa" w:w="70"/>
              <w:right w:type="dxa" w:w="110"/>
            </w:tcMar>
            <w:vAlign w:val="top"/>
          </w:tcPr>
          <w:p>
            <w:r>
              <w:rPr>
                <w:rFonts w:ascii="Consolas" w:cs="Consolas" w:eastAsia="Consolas" w:hAnsi="Consolas"/>
                <w:b/>
                <w:bCs/>
                <w:color w:val="7C3AED"/>
                <w:sz w:val="16"/>
                <w:szCs w:val="16"/>
              </w:rPr>
              <w:t xml:space="preserve">WS3 · AI engine</w:t>
            </w:r>
          </w:p>
        </w:tc>
        <w:tc>
          <w:tcPr>
            <w:tcW w:type="dxa" w:w="76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Detection model, inference service and the training loop.</w:t>
            </w:r>
          </w:p>
        </w:tc>
      </w:tr>
      <w:tr>
        <w:tc>
          <w:tcPr>
            <w:tcW w:type="dxa" w:w="1400"/>
            <w:tcMar>
              <w:top w:type="dxa" w:w="70"/>
              <w:left w:type="dxa" w:w="110"/>
              <w:bottom w:type="dxa" w:w="70"/>
              <w:right w:type="dxa" w:w="110"/>
            </w:tcMar>
            <w:vAlign w:val="top"/>
          </w:tcPr>
          <w:p>
            <w:r>
              <w:rPr>
                <w:rFonts w:ascii="Consolas" w:cs="Consolas" w:eastAsia="Consolas" w:hAnsi="Consolas"/>
                <w:b/>
                <w:bCs/>
                <w:color w:val="7C3AED"/>
                <w:sz w:val="16"/>
                <w:szCs w:val="16"/>
              </w:rPr>
              <w:t xml:space="preserve">WS4 · Review &amp; grading</w:t>
            </w:r>
          </w:p>
        </w:tc>
        <w:tc>
          <w:tcPr>
            <w:tcW w:type="dxa" w:w="76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Annotation, correction, grading engine and disposition.</w:t>
            </w:r>
          </w:p>
        </w:tc>
      </w:tr>
      <w:tr>
        <w:tc>
          <w:tcPr>
            <w:tcW w:type="dxa" w:w="1400"/>
            <w:tcMar>
              <w:top w:type="dxa" w:w="70"/>
              <w:left w:type="dxa" w:w="110"/>
              <w:bottom w:type="dxa" w:w="70"/>
              <w:right w:type="dxa" w:w="110"/>
            </w:tcMar>
            <w:vAlign w:val="top"/>
          </w:tcPr>
          <w:p>
            <w:r>
              <w:rPr>
                <w:rFonts w:ascii="Consolas" w:cs="Consolas" w:eastAsia="Consolas" w:hAnsi="Consolas"/>
                <w:b/>
                <w:bCs/>
                <w:color w:val="7C3AED"/>
                <w:sz w:val="16"/>
                <w:szCs w:val="16"/>
              </w:rPr>
              <w:t xml:space="preserve">WS5 · Records &amp; data</w:t>
            </w:r>
          </w:p>
        </w:tc>
        <w:tc>
          <w:tcPr>
            <w:tcW w:type="dxa" w:w="76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History, reporting, imports, exports and integrations.</w:t>
            </w:r>
          </w:p>
        </w:tc>
      </w:tr>
      <w:tr>
        <w:tc>
          <w:tcPr>
            <w:tcW w:type="dxa" w:w="1400"/>
            <w:tcMar>
              <w:top w:type="dxa" w:w="70"/>
              <w:left w:type="dxa" w:w="110"/>
              <w:bottom w:type="dxa" w:w="70"/>
              <w:right w:type="dxa" w:w="110"/>
            </w:tcMar>
            <w:vAlign w:val="top"/>
          </w:tcPr>
          <w:p>
            <w:r>
              <w:rPr>
                <w:rFonts w:ascii="Consolas" w:cs="Consolas" w:eastAsia="Consolas" w:hAnsi="Consolas"/>
                <w:b/>
                <w:bCs/>
                <w:color w:val="7C3AED"/>
                <w:sz w:val="16"/>
                <w:szCs w:val="16"/>
              </w:rPr>
              <w:t xml:space="preserve">WS6 · Insight &amp; admin</w:t>
            </w:r>
          </w:p>
        </w:tc>
        <w:tc>
          <w:tcPr>
            <w:tcW w:type="dxa" w:w="76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Dashboard, analytics, administration and audit.</w:t>
            </w:r>
          </w:p>
        </w:tc>
      </w:tr>
    </w:tbl>
    <w:p>
      <w:r>
        <w:br w:type="page"/>
      </w:r>
    </w:p>
    <w:p>
      <w:pPr>
        <w:spacing w:after="40" w:before="60"/>
      </w:pPr>
      <w:r>
        <w:rPr>
          <w:rFonts w:ascii="Consolas" w:cs="Consolas" w:eastAsia="Consolas" w:hAnsi="Consolas"/>
          <w:b/>
          <w:bCs/>
          <w:color w:val="0E9AAC"/>
          <w:spacing w:val="60"/>
          <w:sz w:val="15"/>
          <w:szCs w:val="15"/>
        </w:rPr>
        <w:t xml:space="preserve">IN SCOPE</w:t>
      </w:r>
    </w:p>
    <w:p>
      <w:pPr>
        <w:pStyle w:val="Heading1"/>
        <w:spacing w:after="120" w:before="60"/>
      </w:pPr>
      <w:r>
        <w:rPr>
          <w:rFonts w:ascii="Consolas" w:cs="Consolas" w:eastAsia="Consolas" w:hAnsi="Consolas"/>
          <w:b/>
          <w:bCs/>
          <w:color w:val="7C3AED"/>
          <w:sz w:val="26"/>
          <w:szCs w:val="26"/>
        </w:rPr>
        <w:t xml:space="preserve">05  </w:t>
      </w:r>
      <w:r>
        <w:rPr>
          <w:rFonts w:ascii="Calibri" w:cs="Calibri" w:eastAsia="Calibri" w:hAnsi="Calibri"/>
          <w:b/>
          <w:bCs/>
          <w:color w:val="0D0E1A"/>
          <w:sz w:val="30"/>
          <w:szCs w:val="30"/>
        </w:rPr>
        <w:t xml:space="preserve">Detailed deliverables</w:t>
      </w:r>
    </w:p>
    <w:p>
      <w:pPr>
        <w:spacing w:after="140"/>
      </w:pPr>
      <w:r>
        <w:rPr>
          <w:rFonts w:ascii="Calibri" w:cs="Calibri" w:eastAsia="Calibri" w:hAnsi="Calibri"/>
          <w:color w:val="33354A"/>
          <w:sz w:val="21"/>
          <w:szCs w:val="21"/>
        </w:rPr>
        <w:t xml:space="preserve">Every deliverable below is committed to the build and is individually acceptance-tested. Deliverable IDs (D-xx) are referenced by the acceptance and milestone schedules.</w:t>
      </w:r>
    </w:p>
    <w:p>
      <w:pPr>
        <w:spacing w:after="80" w:before="200"/>
      </w:pPr>
      <w:r>
        <w:rPr>
          <w:rFonts w:ascii="Calibri" w:cs="Calibri" w:eastAsia="Calibri" w:hAnsi="Calibri"/>
          <w:b/>
          <w:bCs/>
          <w:color w:val="0D0E1A"/>
          <w:sz w:val="20"/>
          <w:szCs w:val="20"/>
        </w:rPr>
        <w:t xml:space="preserve">WS1 · Platform foundations</w:t>
      </w:r>
    </w:p>
    <w:tbl>
      <w:tblPr>
        <w:tblW w:type="dxa" w:w="9026"/>
        <w:tblBorders>
          <w:top w:val="single" w:color="D9DCEA" w:sz="4"/>
          <w:left w:val="none"/>
          <w:bottom w:val="single" w:color="D9DCEA" w:sz="4"/>
          <w:right w:val="none"/>
          <w:insideH w:val="single" w:color="D9DCEA" w:sz="4"/>
          <w:insideV w:val="none"/>
        </w:tblBorders>
      </w:tblPr>
      <w:tblGrid>
        <w:gridCol w:w="680"/>
        <w:gridCol w:w="1900"/>
        <w:gridCol w:w="3620"/>
        <w:gridCol w:w="2826"/>
      </w:tblGrid>
      <w:tr>
        <w:trPr>
          <w:tblHeader/>
        </w:trPr>
        <w:tc>
          <w:tcPr>
            <w:tcW w:type="dxa" w:w="68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ID</w:t>
            </w:r>
          </w:p>
        </w:tc>
        <w:tc>
          <w:tcPr>
            <w:tcW w:type="dxa" w:w="19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Deliverable</w:t>
            </w:r>
          </w:p>
        </w:tc>
        <w:tc>
          <w:tcPr>
            <w:tcW w:type="dxa" w:w="362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Includes</w:t>
            </w:r>
          </w:p>
        </w:tc>
        <w:tc>
          <w:tcPr>
            <w:tcW w:type="dxa" w:w="28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Acceptance basis</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D-01</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Access &amp; authentication</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Email/password with optional 2FA; enterprise SSO (SAML 2.0 / OIDC); rotating session tokens.</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 user signs in by each method and receives correct role and tenant context.</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D-02</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Roles &amp; permissions</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Operator, Supervisor, Admin and Client roles with a published permission matrix enforced server-side.</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Automated per-role permission tests pass; forbidden actions are refused by the API.</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D-03</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Multi-tenant isolation</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Row-level security so one client's data is never returned to another.</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Cross-tenant access tests return no data; verified in security testing (Section 13).</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D-04</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Station kiosk sessions</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Device-bound tokens, idle lock, fast operator switching.</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 station authenticates as a device; operators switch without full re-login; idle lock engages.</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D-05</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Design system &amp; app shell</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Token set (colour, type, spacing, motion), component library, navigation and layouts for all three surfaces.</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Component library published; all subsequent screens assembled from it.</w:t>
            </w:r>
          </w:p>
        </w:tc>
      </w:tr>
    </w:tbl>
    <w:p>
      <w:pPr>
        <w:spacing w:after="80" w:before="200"/>
      </w:pPr>
      <w:r>
        <w:rPr>
          <w:rFonts w:ascii="Calibri" w:cs="Calibri" w:eastAsia="Calibri" w:hAnsi="Calibri"/>
          <w:b/>
          <w:bCs/>
          <w:color w:val="0D0E1A"/>
          <w:sz w:val="20"/>
          <w:szCs w:val="20"/>
        </w:rPr>
        <w:t xml:space="preserve">WS2 · Inspection station &amp; capture</w:t>
      </w:r>
    </w:p>
    <w:tbl>
      <w:tblPr>
        <w:tblW w:type="dxa" w:w="9026"/>
        <w:tblBorders>
          <w:top w:val="single" w:color="D9DCEA" w:sz="4"/>
          <w:left w:val="none"/>
          <w:bottom w:val="single" w:color="D9DCEA" w:sz="4"/>
          <w:right w:val="none"/>
          <w:insideH w:val="single" w:color="D9DCEA" w:sz="4"/>
          <w:insideV w:val="none"/>
        </w:tblBorders>
      </w:tblPr>
      <w:tblGrid>
        <w:gridCol w:w="680"/>
        <w:gridCol w:w="1900"/>
        <w:gridCol w:w="3620"/>
        <w:gridCol w:w="2826"/>
      </w:tblGrid>
      <w:tr>
        <w:trPr>
          <w:tblHeader/>
        </w:trPr>
        <w:tc>
          <w:tcPr>
            <w:tcW w:type="dxa" w:w="68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ID</w:t>
            </w:r>
          </w:p>
        </w:tc>
        <w:tc>
          <w:tcPr>
            <w:tcW w:type="dxa" w:w="19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Deliverable</w:t>
            </w:r>
          </w:p>
        </w:tc>
        <w:tc>
          <w:tcPr>
            <w:tcW w:type="dxa" w:w="362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Includes</w:t>
            </w:r>
          </w:p>
        </w:tc>
        <w:tc>
          <w:tcPr>
            <w:tcW w:type="dxa" w:w="28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Acceptance basis</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D-06</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Guided capture workflow</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Six-state flow: scan, verify, position, capture, analyse, review.</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An operator completes the full flow for a device end to end on station hardware.</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D-07</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Device identification</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Barcode/QR scan and OCR service-tag reading, with manual entry fallback and device lookup (model, spec, prior inspections, warranty).</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 scanned device resolves to its record; manual entry works where scan fails.</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D-08</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Six-angle capture</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Single-trigger capture of six angles with per-angle retake and focus/exposure validation.</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All six angles captured; blurred or over-exposed frames are rejected and re-shot.</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D-09</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Offline tolerance</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Local capture queue with automatic sync on reconnect.</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Captures taken with the network disabled complete and sync when it returns.</w:t>
            </w:r>
          </w:p>
        </w:tc>
      </w:tr>
    </w:tbl>
    <w:p>
      <w:pPr>
        <w:spacing w:after="80" w:before="200"/>
      </w:pPr>
      <w:r>
        <w:rPr>
          <w:rFonts w:ascii="Calibri" w:cs="Calibri" w:eastAsia="Calibri" w:hAnsi="Calibri"/>
          <w:b/>
          <w:bCs/>
          <w:color w:val="0D0E1A"/>
          <w:sz w:val="20"/>
          <w:szCs w:val="20"/>
        </w:rPr>
        <w:t xml:space="preserve">WS3 · AI detection engine</w:t>
      </w:r>
    </w:p>
    <w:tbl>
      <w:tblPr>
        <w:tblW w:type="dxa" w:w="9026"/>
        <w:tblBorders>
          <w:top w:val="single" w:color="D9DCEA" w:sz="4"/>
          <w:left w:val="none"/>
          <w:bottom w:val="single" w:color="D9DCEA" w:sz="4"/>
          <w:right w:val="none"/>
          <w:insideH w:val="single" w:color="D9DCEA" w:sz="4"/>
          <w:insideV w:val="none"/>
        </w:tblBorders>
      </w:tblPr>
      <w:tblGrid>
        <w:gridCol w:w="680"/>
        <w:gridCol w:w="1900"/>
        <w:gridCol w:w="3620"/>
        <w:gridCol w:w="2826"/>
      </w:tblGrid>
      <w:tr>
        <w:trPr>
          <w:tblHeader/>
        </w:trPr>
        <w:tc>
          <w:tcPr>
            <w:tcW w:type="dxa" w:w="68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ID</w:t>
            </w:r>
          </w:p>
        </w:tc>
        <w:tc>
          <w:tcPr>
            <w:tcW w:type="dxa" w:w="19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Deliverable</w:t>
            </w:r>
          </w:p>
        </w:tc>
        <w:tc>
          <w:tcPr>
            <w:tcW w:type="dxa" w:w="362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Includes</w:t>
            </w:r>
          </w:p>
        </w:tc>
        <w:tc>
          <w:tcPr>
            <w:tcW w:type="dxa" w:w="28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Acceptance basis</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D-10</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Defect taxonomy</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20+ classes across cosmetic, display and hardware, signed off with the Client.</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Taxonomy document approved by the Client in writing.</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D-11</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Detection model</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Segmentation + classification, fine-tuned on Client intake photography; per-detection confidence, four-level severity, bounding region and heat map.</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Model returns detections on live captures; accuracy gate in Section 13 met.</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D-12</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Inference service</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Model served on the Edge Node GPU, with confidence thresholds and auto-escalation to review.</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Inference completes within the per-image time budget on target hardware.</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D-13</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Model versioning &amp; retrain loop</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Every result stamped with its model version; operator corrections queued into the training set; candidate-vs-incumbent evaluation.</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Results carry a version; a retrain run is demonstrated against the holdout set.</w:t>
            </w:r>
          </w:p>
        </w:tc>
      </w:tr>
    </w:tbl>
    <w:p>
      <w:pPr>
        <w:spacing w:after="80" w:before="200"/>
      </w:pPr>
      <w:r>
        <w:rPr>
          <w:rFonts w:ascii="Calibri" w:cs="Calibri" w:eastAsia="Calibri" w:hAnsi="Calibri"/>
          <w:b/>
          <w:bCs/>
          <w:color w:val="0D0E1A"/>
          <w:sz w:val="20"/>
          <w:szCs w:val="20"/>
        </w:rPr>
        <w:t xml:space="preserve">WS4 · Review, grading &amp; disposition</w:t>
      </w:r>
    </w:p>
    <w:tbl>
      <w:tblPr>
        <w:tblW w:type="dxa" w:w="9026"/>
        <w:tblBorders>
          <w:top w:val="single" w:color="D9DCEA" w:sz="4"/>
          <w:left w:val="none"/>
          <w:bottom w:val="single" w:color="D9DCEA" w:sz="4"/>
          <w:right w:val="none"/>
          <w:insideH w:val="single" w:color="D9DCEA" w:sz="4"/>
          <w:insideV w:val="none"/>
        </w:tblBorders>
      </w:tblPr>
      <w:tblGrid>
        <w:gridCol w:w="680"/>
        <w:gridCol w:w="1900"/>
        <w:gridCol w:w="3620"/>
        <w:gridCol w:w="2826"/>
      </w:tblGrid>
      <w:tr>
        <w:trPr>
          <w:tblHeader/>
        </w:trPr>
        <w:tc>
          <w:tcPr>
            <w:tcW w:type="dxa" w:w="68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ID</w:t>
            </w:r>
          </w:p>
        </w:tc>
        <w:tc>
          <w:tcPr>
            <w:tcW w:type="dxa" w:w="19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Deliverable</w:t>
            </w:r>
          </w:p>
        </w:tc>
        <w:tc>
          <w:tcPr>
            <w:tcW w:type="dxa" w:w="362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Includes</w:t>
            </w:r>
          </w:p>
        </w:tc>
        <w:tc>
          <w:tcPr>
            <w:tcW w:type="dxa" w:w="28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Acceptance basis</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D-14</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Annotated review viewer</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Bounding boxes, heat-map toggle, zoom-to-defect; cursor tool to resize an AI region or draw a missed one on the photo.</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An operator resizes and draws regions; changes persist and are audited.</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D-15</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Detection management</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Accept, reject, reclassify, change severity, merge duplicates; low-confidence queue with supervisor routing.</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Each action updates the record and writes an audit entry.</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D-16</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Grading engine</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Cosmetic and functional grades (A-F) and a 0-100 health score from configurable rules; per-client grade profiles.</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 confirmed defect set produces the expected grade for a given profile.</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D-17</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Disposition &amp; override</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Recommended disposition (resell / repair / parts / recycle); supervisor override with mandatory reason code.</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Overrides require a reason and are captured in the record.</w:t>
            </w:r>
          </w:p>
        </w:tc>
      </w:tr>
    </w:tbl>
    <w:p>
      <w:pPr>
        <w:spacing w:after="80" w:before="200"/>
      </w:pPr>
      <w:r>
        <w:rPr>
          <w:rFonts w:ascii="Calibri" w:cs="Calibri" w:eastAsia="Calibri" w:hAnsi="Calibri"/>
          <w:b/>
          <w:bCs/>
          <w:color w:val="0D0E1A"/>
          <w:sz w:val="20"/>
          <w:szCs w:val="20"/>
        </w:rPr>
        <w:t xml:space="preserve">WS5 · Records, reporting &amp; data</w:t>
      </w:r>
    </w:p>
    <w:tbl>
      <w:tblPr>
        <w:tblW w:type="dxa" w:w="9026"/>
        <w:tblBorders>
          <w:top w:val="single" w:color="D9DCEA" w:sz="4"/>
          <w:left w:val="none"/>
          <w:bottom w:val="single" w:color="D9DCEA" w:sz="4"/>
          <w:right w:val="none"/>
          <w:insideH w:val="single" w:color="D9DCEA" w:sz="4"/>
          <w:insideV w:val="none"/>
        </w:tblBorders>
      </w:tblPr>
      <w:tblGrid>
        <w:gridCol w:w="680"/>
        <w:gridCol w:w="1900"/>
        <w:gridCol w:w="3620"/>
        <w:gridCol w:w="2826"/>
      </w:tblGrid>
      <w:tr>
        <w:trPr>
          <w:tblHeader/>
        </w:trPr>
        <w:tc>
          <w:tcPr>
            <w:tcW w:type="dxa" w:w="68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ID</w:t>
            </w:r>
          </w:p>
        </w:tc>
        <w:tc>
          <w:tcPr>
            <w:tcW w:type="dxa" w:w="19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Deliverable</w:t>
            </w:r>
          </w:p>
        </w:tc>
        <w:tc>
          <w:tcPr>
            <w:tcW w:type="dxa" w:w="362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Includes</w:t>
            </w:r>
          </w:p>
        </w:tc>
        <w:tc>
          <w:tcPr>
            <w:tcW w:type="dxa" w:w="28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Acceptance basis</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D-18</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Inspection history</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Virtualised 16-column grid for 100k+ records; global search, advanced filters, saved presets, bulk actions, role-gated inline editing, saved views.</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Grid performs at target with a representative dataset; filters and bulk actions behave.</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D-19</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Inspection record &amp; report</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Tabbed record (overview, images, AI results, audit, edit); full-res viewer; branded PDF certificate with tamper-evident hash; expiring read-only share link.</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 certificate generates with correct data and hash; a share link expires as configured.</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D-20</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Import &amp; export</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Five-step CSV import wizard; export to CSV, XLSX, PDF and JSON, filtered or bulk.</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 sample file imports with validation; exports produce correct content in each format.</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D-21</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Integrations</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REST API with OpenAPI spec and signed webhooks; one ERP/WMS connector; ZPL label printing; scheduled buyer feeds (SFTP/S3).</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 record change fires a signed webhook; the connector posts to the agreed endpoint.</w:t>
            </w:r>
          </w:p>
        </w:tc>
      </w:tr>
    </w:tbl>
    <w:p>
      <w:pPr>
        <w:spacing w:after="80" w:before="200"/>
      </w:pPr>
      <w:r>
        <w:rPr>
          <w:rFonts w:ascii="Calibri" w:cs="Calibri" w:eastAsia="Calibri" w:hAnsi="Calibri"/>
          <w:b/>
          <w:bCs/>
          <w:color w:val="0D0E1A"/>
          <w:sz w:val="20"/>
          <w:szCs w:val="20"/>
        </w:rPr>
        <w:t xml:space="preserve">WS6 · Insight &amp; administration</w:t>
      </w:r>
    </w:p>
    <w:tbl>
      <w:tblPr>
        <w:tblW w:type="dxa" w:w="9026"/>
        <w:tblBorders>
          <w:top w:val="single" w:color="D9DCEA" w:sz="4"/>
          <w:left w:val="none"/>
          <w:bottom w:val="single" w:color="D9DCEA" w:sz="4"/>
          <w:right w:val="none"/>
          <w:insideH w:val="single" w:color="D9DCEA" w:sz="4"/>
          <w:insideV w:val="none"/>
        </w:tblBorders>
      </w:tblPr>
      <w:tblGrid>
        <w:gridCol w:w="680"/>
        <w:gridCol w:w="1900"/>
        <w:gridCol w:w="3620"/>
        <w:gridCol w:w="2826"/>
      </w:tblGrid>
      <w:tr>
        <w:trPr>
          <w:tblHeader/>
        </w:trPr>
        <w:tc>
          <w:tcPr>
            <w:tcW w:type="dxa" w:w="68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ID</w:t>
            </w:r>
          </w:p>
        </w:tc>
        <w:tc>
          <w:tcPr>
            <w:tcW w:type="dxa" w:w="19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Deliverable</w:t>
            </w:r>
          </w:p>
        </w:tc>
        <w:tc>
          <w:tcPr>
            <w:tcW w:type="dxa" w:w="362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Includes</w:t>
            </w:r>
          </w:p>
        </w:tc>
        <w:tc>
          <w:tcPr>
            <w:tcW w:type="dxa" w:w="28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Acceptance basis</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D-22</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Dashboard &amp; live floor</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Live station tiles, shift KPIs, throughput and defect-mix charts, alert feed, operator activity summary.</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Dashboard reflects live station state and correct KPIs for a shift.</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D-23</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Analytics</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Throughput, cycle time, yield and rework by station/shift; grade distribution; defect Pareto by supplier; AI-vs-human agreement; date ranges, CSV export, scheduled digest.</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Reports compute correctly against known data; digest is delivered on schedule.</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D-24</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Administration</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Client, user, role and station management with camera calibration; taxonomy and severity-rule editor; grade-profile builder with historic preview; notification rules; per-client branding; feature flags.</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An administrator configures each area; changes take effect without a release.</w:t>
            </w:r>
          </w:p>
        </w:tc>
      </w:tr>
      <w:tr>
        <w:tc>
          <w:tcPr>
            <w:tcW w:type="dxa" w:w="680"/>
            <w:tcMar>
              <w:top w:type="dxa" w:w="70"/>
              <w:left w:type="dxa" w:w="110"/>
              <w:bottom w:type="dxa" w:w="70"/>
              <w:right w:type="dxa" w:w="110"/>
            </w:tcMar>
            <w:vAlign w:val="top"/>
          </w:tcPr>
          <w:p>
            <w:r>
              <w:rPr>
                <w:rFonts w:ascii="Consolas" w:cs="Consolas" w:eastAsia="Consolas" w:hAnsi="Consolas"/>
                <w:b/>
                <w:bCs/>
                <w:color w:val="7C3AED"/>
                <w:sz w:val="16"/>
                <w:szCs w:val="16"/>
              </w:rPr>
              <w:t xml:space="preserve">D-25</w:t>
            </w:r>
          </w:p>
        </w:tc>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Audit &amp; compliance</w:t>
            </w:r>
          </w:p>
        </w:tc>
        <w:tc>
          <w:tcPr>
            <w:tcW w:type="dxa" w:w="362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Immutable audit log (actor, action, before, after, timestamp), exportable; retention/purge and right-to-erasure; encryption in transit and at rest; field-level redaction for Client-role users.</w:t>
            </w:r>
          </w:p>
        </w:tc>
        <w:tc>
          <w:tcPr>
            <w:tcW w:type="dxa" w:w="2826"/>
            <w:tcMar>
              <w:top w:type="dxa" w:w="70"/>
              <w:left w:type="dxa" w:w="110"/>
              <w:bottom w:type="dxa" w:w="70"/>
              <w:right w:type="dxa" w:w="110"/>
            </w:tcMar>
            <w:vAlign w:val="top"/>
          </w:tcPr>
          <w:p>
            <w:r>
              <w:rPr>
                <w:rFonts w:ascii="Calibri" w:cs="Calibri" w:eastAsia="Calibri" w:hAnsi="Calibri"/>
                <w:b w:val="false"/>
                <w:bCs w:val="false"/>
                <w:color w:val="6A6C83"/>
                <w:sz w:val="16"/>
                <w:szCs w:val="16"/>
              </w:rPr>
              <w:t xml:space="preserve">Every material change is logged; retention and erasure workflows execute; redaction applies.</w:t>
            </w:r>
          </w:p>
        </w:tc>
      </w:tr>
    </w:tbl>
    <w:p>
      <w:r>
        <w:br w:type="page"/>
      </w:r>
    </w:p>
    <w:p>
      <w:pPr>
        <w:spacing w:after="40" w:before="60"/>
      </w:pPr>
      <w:r>
        <w:rPr>
          <w:rFonts w:ascii="Consolas" w:cs="Consolas" w:eastAsia="Consolas" w:hAnsi="Consolas"/>
          <w:b/>
          <w:bCs/>
          <w:color w:val="0E9AAC"/>
          <w:spacing w:val="60"/>
          <w:sz w:val="15"/>
          <w:szCs w:val="15"/>
        </w:rPr>
        <w:t xml:space="preserve">BUILD &amp; HAND-OVER</w:t>
      </w:r>
    </w:p>
    <w:p>
      <w:pPr>
        <w:pStyle w:val="Heading1"/>
        <w:spacing w:after="120" w:before="60"/>
      </w:pPr>
      <w:r>
        <w:rPr>
          <w:rFonts w:ascii="Consolas" w:cs="Consolas" w:eastAsia="Consolas" w:hAnsi="Consolas"/>
          <w:b/>
          <w:bCs/>
          <w:color w:val="7C3AED"/>
          <w:sz w:val="26"/>
          <w:szCs w:val="26"/>
        </w:rPr>
        <w:t xml:space="preserve">06  </w:t>
      </w:r>
      <w:r>
        <w:rPr>
          <w:rFonts w:ascii="Calibri" w:cs="Calibri" w:eastAsia="Calibri" w:hAnsi="Calibri"/>
          <w:b/>
          <w:bCs/>
          <w:color w:val="0D0E1A"/>
          <w:sz w:val="30"/>
          <w:szCs w:val="30"/>
        </w:rPr>
        <w:t xml:space="preserve">Technical deliverables</w:t>
      </w:r>
    </w:p>
    <w:p>
      <w:pPr>
        <w:spacing w:after="140"/>
      </w:pPr>
      <w:r>
        <w:rPr>
          <w:rFonts w:ascii="Calibri" w:cs="Calibri" w:eastAsia="Calibri" w:hAnsi="Calibri"/>
          <w:color w:val="33354A"/>
          <w:sz w:val="20"/>
          <w:szCs w:val="20"/>
        </w:rPr>
        <w:t xml:space="preserve">Beyond the functional modules, the engagement delivers the following engineering and documentation assets.</w:t>
      </w:r>
    </w:p>
    <w:p>
      <w:pPr>
        <w:pStyle w:val="Heading2"/>
        <w:spacing w:after="90" w:before="220"/>
      </w:pPr>
      <w:r>
        <w:rPr>
          <w:rFonts w:ascii="Calibri" w:cs="Calibri" w:eastAsia="Calibri" w:hAnsi="Calibri"/>
          <w:b/>
          <w:bCs/>
          <w:color w:val="0D0E1A"/>
          <w:sz w:val="21"/>
          <w:szCs w:val="21"/>
        </w:rPr>
        <w:t xml:space="preserve">Front end</w:t>
      </w:r>
    </w:p>
    <w:p>
      <w:pPr>
        <w:pStyle w:val="ListParagraph"/>
        <w:numPr>
          <w:ilvl w:val="0"/>
          <w:numId w:val="1"/>
        </w:numPr>
        <w:spacing w:after="50"/>
      </w:pPr>
      <w:r>
        <w:rPr>
          <w:rFonts w:ascii="Calibri" w:cs="Calibri" w:eastAsia="Calibri" w:hAnsi="Calibri"/>
          <w:color w:val="33354A"/>
          <w:sz w:val="20"/>
          <w:szCs w:val="20"/>
        </w:rPr>
        <w:t xml:space="preserve">Next.js 16 / React 19 / TypeScript application serving station, back-office and client-portal surfaces</w:t>
      </w:r>
    </w:p>
    <w:p>
      <w:pPr>
        <w:pStyle w:val="ListParagraph"/>
        <w:numPr>
          <w:ilvl w:val="0"/>
          <w:numId w:val="1"/>
        </w:numPr>
        <w:spacing w:after="50"/>
      </w:pPr>
      <w:r>
        <w:rPr>
          <w:rFonts w:ascii="Calibri" w:cs="Calibri" w:eastAsia="Calibri" w:hAnsi="Calibri"/>
          <w:color w:val="33354A"/>
          <w:sz w:val="20"/>
          <w:szCs w:val="20"/>
        </w:rPr>
        <w:t xml:space="preserve">Tokenised design system on Tailwind v4; dark-first station UI</w:t>
      </w:r>
    </w:p>
    <w:p>
      <w:pPr>
        <w:pStyle w:val="ListParagraph"/>
        <w:numPr>
          <w:ilvl w:val="0"/>
          <w:numId w:val="1"/>
        </w:numPr>
        <w:spacing w:after="50"/>
      </w:pPr>
      <w:r>
        <w:rPr>
          <w:rFonts w:ascii="Calibri" w:cs="Calibri" w:eastAsia="Calibri" w:hAnsi="Calibri"/>
          <w:color w:val="33354A"/>
          <w:sz w:val="20"/>
          <w:szCs w:val="20"/>
        </w:rPr>
        <w:t xml:space="preserve">Virtualised data grids (100k+ rows); real-time station status (WebSocket + SSE fallback)</w:t>
      </w:r>
    </w:p>
    <w:p>
      <w:pPr>
        <w:pStyle w:val="ListParagraph"/>
        <w:numPr>
          <w:ilvl w:val="0"/>
          <w:numId w:val="1"/>
        </w:numPr>
        <w:spacing w:after="50"/>
      </w:pPr>
      <w:r>
        <w:rPr>
          <w:rFonts w:ascii="Calibri" w:cs="Calibri" w:eastAsia="Calibri" w:hAnsi="Calibri"/>
          <w:color w:val="33354A"/>
          <w:sz w:val="20"/>
          <w:szCs w:val="20"/>
        </w:rPr>
        <w:t xml:space="preserve">Offline-tolerant capture (service worker + IndexedDB)</w:t>
      </w:r>
    </w:p>
    <w:p>
      <w:pPr>
        <w:pStyle w:val="ListParagraph"/>
        <w:numPr>
          <w:ilvl w:val="0"/>
          <w:numId w:val="1"/>
        </w:numPr>
        <w:spacing w:after="50"/>
      </w:pPr>
      <w:r>
        <w:rPr>
          <w:rFonts w:ascii="Calibri" w:cs="Calibri" w:eastAsia="Calibri" w:hAnsi="Calibri"/>
          <w:color w:val="33354A"/>
          <w:sz w:val="20"/>
          <w:szCs w:val="20"/>
        </w:rPr>
        <w:t xml:space="preserve">WCAG 2.2 AA on operator and supervisor journeys; LCP &lt; 2.0s, INP &lt; 200ms budgets</w:t>
      </w:r>
    </w:p>
    <w:p>
      <w:pPr>
        <w:pStyle w:val="Heading2"/>
        <w:spacing w:after="90" w:before="220"/>
      </w:pPr>
      <w:r>
        <w:rPr>
          <w:rFonts w:ascii="Calibri" w:cs="Calibri" w:eastAsia="Calibri" w:hAnsi="Calibri"/>
          <w:b/>
          <w:bCs/>
          <w:color w:val="0D0E1A"/>
          <w:sz w:val="21"/>
          <w:szCs w:val="21"/>
        </w:rPr>
        <w:t xml:space="preserve">Back end</w:t>
      </w:r>
    </w:p>
    <w:p>
      <w:pPr>
        <w:pStyle w:val="ListParagraph"/>
        <w:numPr>
          <w:ilvl w:val="0"/>
          <w:numId w:val="1"/>
        </w:numPr>
        <w:spacing w:after="50"/>
      </w:pPr>
      <w:r>
        <w:rPr>
          <w:rFonts w:ascii="Calibri" w:cs="Calibri" w:eastAsia="Calibri" w:hAnsi="Calibri"/>
          <w:color w:val="33354A"/>
          <w:sz w:val="20"/>
          <w:szCs w:val="20"/>
        </w:rPr>
        <w:t xml:space="preserve">NestJS / TypeScript API with OpenAPI specification</w:t>
      </w:r>
    </w:p>
    <w:p>
      <w:pPr>
        <w:pStyle w:val="ListParagraph"/>
        <w:numPr>
          <w:ilvl w:val="0"/>
          <w:numId w:val="1"/>
        </w:numPr>
        <w:spacing w:after="50"/>
      </w:pPr>
      <w:r>
        <w:rPr>
          <w:rFonts w:ascii="Calibri" w:cs="Calibri" w:eastAsia="Calibri" w:hAnsi="Calibri"/>
          <w:color w:val="33354A"/>
          <w:sz w:val="20"/>
          <w:szCs w:val="20"/>
        </w:rPr>
        <w:t xml:space="preserve">PostgreSQL 16 with row-level security; Redis + BullMQ job queue</w:t>
      </w:r>
    </w:p>
    <w:p>
      <w:pPr>
        <w:pStyle w:val="ListParagraph"/>
        <w:numPr>
          <w:ilvl w:val="0"/>
          <w:numId w:val="1"/>
        </w:numPr>
        <w:spacing w:after="50"/>
      </w:pPr>
      <w:r>
        <w:rPr>
          <w:rFonts w:ascii="Calibri" w:cs="Calibri" w:eastAsia="Calibri" w:hAnsi="Calibri"/>
          <w:color w:val="33354A"/>
          <w:sz w:val="20"/>
          <w:szCs w:val="20"/>
        </w:rPr>
        <w:t xml:space="preserve">S3-compatible object storage with presigned uploads</w:t>
      </w:r>
    </w:p>
    <w:p>
      <w:pPr>
        <w:pStyle w:val="ListParagraph"/>
        <w:numPr>
          <w:ilvl w:val="0"/>
          <w:numId w:val="1"/>
        </w:numPr>
        <w:spacing w:after="50"/>
      </w:pPr>
      <w:r>
        <w:rPr>
          <w:rFonts w:ascii="Calibri" w:cs="Calibri" w:eastAsia="Calibri" w:hAnsi="Calibri"/>
          <w:color w:val="33354A"/>
          <w:sz w:val="20"/>
          <w:szCs w:val="20"/>
        </w:rPr>
        <w:t xml:space="preserve">Python FastAPI inference service; TensorRT model serving on the Edge Node</w:t>
      </w:r>
    </w:p>
    <w:p>
      <w:pPr>
        <w:pStyle w:val="ListParagraph"/>
        <w:numPr>
          <w:ilvl w:val="0"/>
          <w:numId w:val="1"/>
        </w:numPr>
        <w:spacing w:after="50"/>
      </w:pPr>
      <w:r>
        <w:rPr>
          <w:rFonts w:ascii="Calibri" w:cs="Calibri" w:eastAsia="Calibri" w:hAnsi="Calibri"/>
          <w:color w:val="33354A"/>
          <w:sz w:val="20"/>
          <w:szCs w:val="20"/>
        </w:rPr>
        <w:t xml:space="preserve">Transactional-outbox webhooks; headless-Chromium PDF reporting</w:t>
      </w:r>
    </w:p>
    <w:p>
      <w:pPr>
        <w:pStyle w:val="Heading2"/>
        <w:spacing w:after="90" w:before="220"/>
      </w:pPr>
      <w:r>
        <w:rPr>
          <w:rFonts w:ascii="Calibri" w:cs="Calibri" w:eastAsia="Calibri" w:hAnsi="Calibri"/>
          <w:b/>
          <w:bCs/>
          <w:color w:val="0D0E1A"/>
          <w:sz w:val="21"/>
          <w:szCs w:val="21"/>
        </w:rPr>
        <w:t xml:space="preserve">Infrastructure &amp; operations</w:t>
      </w:r>
    </w:p>
    <w:p>
      <w:pPr>
        <w:pStyle w:val="ListParagraph"/>
        <w:numPr>
          <w:ilvl w:val="0"/>
          <w:numId w:val="1"/>
        </w:numPr>
        <w:spacing w:after="50"/>
      </w:pPr>
      <w:r>
        <w:rPr>
          <w:rFonts w:ascii="Calibri" w:cs="Calibri" w:eastAsia="Calibri" w:hAnsi="Calibri"/>
          <w:color w:val="33354A"/>
          <w:sz w:val="20"/>
          <w:szCs w:val="20"/>
        </w:rPr>
        <w:t xml:space="preserve">Dockerised services; Terraform-defined environments (staging + production)</w:t>
      </w:r>
    </w:p>
    <w:p>
      <w:pPr>
        <w:pStyle w:val="ListParagraph"/>
        <w:numPr>
          <w:ilvl w:val="0"/>
          <w:numId w:val="1"/>
        </w:numPr>
        <w:spacing w:after="50"/>
      </w:pPr>
      <w:r>
        <w:rPr>
          <w:rFonts w:ascii="Calibri" w:cs="Calibri" w:eastAsia="Calibri" w:hAnsi="Calibri"/>
          <w:color w:val="33354A"/>
          <w:sz w:val="20"/>
          <w:szCs w:val="20"/>
        </w:rPr>
        <w:t xml:space="preserve">GitHub Actions CI/CD with SCA, SAST and secret scanning</w:t>
      </w:r>
    </w:p>
    <w:p>
      <w:pPr>
        <w:pStyle w:val="ListParagraph"/>
        <w:numPr>
          <w:ilvl w:val="0"/>
          <w:numId w:val="1"/>
        </w:numPr>
        <w:spacing w:after="50"/>
      </w:pPr>
      <w:r>
        <w:rPr>
          <w:rFonts w:ascii="Calibri" w:cs="Calibri" w:eastAsia="Calibri" w:hAnsi="Calibri"/>
          <w:color w:val="33354A"/>
          <w:sz w:val="20"/>
          <w:szCs w:val="20"/>
        </w:rPr>
        <w:t xml:space="preserve">OpenTelemetry tracing to Grafana; Sentry error tracking</w:t>
      </w:r>
    </w:p>
    <w:p>
      <w:pPr>
        <w:pStyle w:val="ListParagraph"/>
        <w:numPr>
          <w:ilvl w:val="0"/>
          <w:numId w:val="1"/>
        </w:numPr>
        <w:spacing w:after="50"/>
      </w:pPr>
      <w:r>
        <w:rPr>
          <w:rFonts w:ascii="Calibri" w:cs="Calibri" w:eastAsia="Calibri" w:hAnsi="Calibri"/>
          <w:color w:val="33354A"/>
          <w:sz w:val="20"/>
          <w:szCs w:val="20"/>
        </w:rPr>
        <w:t xml:space="preserve">Cloud control plane plus one on-site Edge Node configuration</w:t>
      </w:r>
    </w:p>
    <w:p>
      <w:pPr>
        <w:pStyle w:val="ListParagraph"/>
        <w:numPr>
          <w:ilvl w:val="0"/>
          <w:numId w:val="1"/>
        </w:numPr>
        <w:spacing w:after="50"/>
      </w:pPr>
      <w:r>
        <w:rPr>
          <w:rFonts w:ascii="Calibri" w:cs="Calibri" w:eastAsia="Calibri" w:hAnsi="Calibri"/>
          <w:color w:val="33354A"/>
          <w:sz w:val="20"/>
          <w:szCs w:val="20"/>
        </w:rPr>
        <w:t xml:space="preserve">Nightly point-in-time backups with a 30-day recovery window</w:t>
      </w:r>
    </w:p>
    <w:p>
      <w:pPr>
        <w:pStyle w:val="Heading2"/>
        <w:spacing w:after="90" w:before="220"/>
      </w:pPr>
      <w:r>
        <w:rPr>
          <w:rFonts w:ascii="Calibri" w:cs="Calibri" w:eastAsia="Calibri" w:hAnsi="Calibri"/>
          <w:b/>
          <w:bCs/>
          <w:color w:val="0D0E1A"/>
          <w:sz w:val="21"/>
          <w:szCs w:val="21"/>
        </w:rPr>
        <w:t xml:space="preserve">Documentation &amp; enablement</w:t>
      </w:r>
    </w:p>
    <w:p>
      <w:pPr>
        <w:pStyle w:val="ListParagraph"/>
        <w:numPr>
          <w:ilvl w:val="0"/>
          <w:numId w:val="1"/>
        </w:numPr>
        <w:spacing w:after="50"/>
      </w:pPr>
      <w:r>
        <w:rPr>
          <w:rFonts w:ascii="Calibri" w:cs="Calibri" w:eastAsia="Calibri" w:hAnsi="Calibri"/>
          <w:color w:val="33354A"/>
          <w:sz w:val="20"/>
          <w:szCs w:val="20"/>
        </w:rPr>
        <w:t xml:space="preserve">Architecture overview and data-model reference</w:t>
      </w:r>
    </w:p>
    <w:p>
      <w:pPr>
        <w:pStyle w:val="ListParagraph"/>
        <w:numPr>
          <w:ilvl w:val="0"/>
          <w:numId w:val="1"/>
        </w:numPr>
        <w:spacing w:after="50"/>
      </w:pPr>
      <w:r>
        <w:rPr>
          <w:rFonts w:ascii="Calibri" w:cs="Calibri" w:eastAsia="Calibri" w:hAnsi="Calibri"/>
          <w:color w:val="33354A"/>
          <w:sz w:val="20"/>
          <w:szCs w:val="20"/>
        </w:rPr>
        <w:t xml:space="preserve">API reference (OpenAPI) and integration/webhook guide</w:t>
      </w:r>
    </w:p>
    <w:p>
      <w:pPr>
        <w:pStyle w:val="ListParagraph"/>
        <w:numPr>
          <w:ilvl w:val="0"/>
          <w:numId w:val="1"/>
        </w:numPr>
        <w:spacing w:after="50"/>
      </w:pPr>
      <w:r>
        <w:rPr>
          <w:rFonts w:ascii="Calibri" w:cs="Calibri" w:eastAsia="Calibri" w:hAnsi="Calibri"/>
          <w:color w:val="33354A"/>
          <w:sz w:val="20"/>
          <w:szCs w:val="20"/>
        </w:rPr>
        <w:t xml:space="preserve">Administrator, supervisor and operator user guides</w:t>
      </w:r>
    </w:p>
    <w:p>
      <w:pPr>
        <w:pStyle w:val="ListParagraph"/>
        <w:numPr>
          <w:ilvl w:val="0"/>
          <w:numId w:val="1"/>
        </w:numPr>
        <w:spacing w:after="50"/>
      </w:pPr>
      <w:r>
        <w:rPr>
          <w:rFonts w:ascii="Calibri" w:cs="Calibri" w:eastAsia="Calibri" w:hAnsi="Calibri"/>
          <w:color w:val="33354A"/>
          <w:sz w:val="20"/>
          <w:szCs w:val="20"/>
        </w:rPr>
        <w:t xml:space="preserve">Model retraining and evaluation guide</w:t>
      </w:r>
    </w:p>
    <w:p>
      <w:pPr>
        <w:pStyle w:val="ListParagraph"/>
        <w:numPr>
          <w:ilvl w:val="0"/>
          <w:numId w:val="1"/>
        </w:numPr>
        <w:spacing w:after="50"/>
      </w:pPr>
      <w:r>
        <w:rPr>
          <w:rFonts w:ascii="Calibri" w:cs="Calibri" w:eastAsia="Calibri" w:hAnsi="Calibri"/>
          <w:color w:val="33354A"/>
          <w:sz w:val="20"/>
          <w:szCs w:val="20"/>
        </w:rPr>
        <w:t xml:space="preserve">Operational runbooks and recorded training walkthroughs</w:t>
      </w:r>
    </w:p>
    <w:p>
      <w:pPr>
        <w:spacing w:after="40" w:before="60"/>
      </w:pPr>
      <w:r>
        <w:rPr>
          <w:rFonts w:ascii="Consolas" w:cs="Consolas" w:eastAsia="Consolas" w:hAnsi="Consolas"/>
          <w:b/>
          <w:bCs/>
          <w:color w:val="0E9AAC"/>
          <w:spacing w:val="60"/>
          <w:sz w:val="15"/>
          <w:szCs w:val="15"/>
        </w:rPr>
        <w:t xml:space="preserve">EXCLUSIONS</w:t>
      </w:r>
    </w:p>
    <w:p>
      <w:pPr>
        <w:pStyle w:val="Heading1"/>
        <w:spacing w:after="120" w:before="60"/>
      </w:pPr>
      <w:r>
        <w:rPr>
          <w:rFonts w:ascii="Consolas" w:cs="Consolas" w:eastAsia="Consolas" w:hAnsi="Consolas"/>
          <w:b/>
          <w:bCs/>
          <w:color w:val="7C3AED"/>
          <w:sz w:val="26"/>
          <w:szCs w:val="26"/>
        </w:rPr>
        <w:t xml:space="preserve">07  </w:t>
      </w:r>
      <w:r>
        <w:rPr>
          <w:rFonts w:ascii="Calibri" w:cs="Calibri" w:eastAsia="Calibri" w:hAnsi="Calibri"/>
          <w:b/>
          <w:bCs/>
          <w:color w:val="0D0E1A"/>
          <w:sz w:val="30"/>
          <w:szCs w:val="30"/>
        </w:rPr>
        <w:t xml:space="preserve">Out of scope</w:t>
      </w:r>
    </w:p>
    <w:p>
      <w:pPr>
        <w:spacing w:after="140"/>
      </w:pPr>
      <w:r>
        <w:rPr>
          <w:rFonts w:ascii="Calibri" w:cs="Calibri" w:eastAsia="Calibri" w:hAnsi="Calibri"/>
          <w:color w:val="33354A"/>
          <w:sz w:val="21"/>
          <w:szCs w:val="21"/>
        </w:rPr>
        <w:t xml:space="preserve">The following are explicitly excluded from this Statement of Work. Any of them may be added later under change control (Section 14).</w:t>
      </w:r>
    </w:p>
    <w:p>
      <w:pPr>
        <w:pStyle w:val="ListParagraph"/>
        <w:numPr>
          <w:ilvl w:val="0"/>
          <w:numId w:val="1"/>
        </w:numPr>
        <w:spacing w:after="50"/>
      </w:pPr>
      <w:r>
        <w:rPr>
          <w:rFonts w:ascii="Calibri" w:cs="Calibri" w:eastAsia="Calibri" w:hAnsi="Calibri"/>
          <w:color w:val="33354A"/>
          <w:sz w:val="20"/>
          <w:szCs w:val="20"/>
        </w:rPr>
        <w:t xml:space="preserve">Native mobile applications — the web app is responsive and installable</w:t>
      </w:r>
    </w:p>
    <w:p>
      <w:pPr>
        <w:pStyle w:val="ListParagraph"/>
        <w:numPr>
          <w:ilvl w:val="0"/>
          <w:numId w:val="1"/>
        </w:numPr>
        <w:spacing w:after="50"/>
      </w:pPr>
      <w:r>
        <w:rPr>
          <w:rFonts w:ascii="Calibri" w:cs="Calibri" w:eastAsia="Calibri" w:hAnsi="Calibri"/>
          <w:color w:val="33354A"/>
          <w:sz w:val="20"/>
          <w:szCs w:val="20"/>
        </w:rPr>
        <w:t xml:space="preserve">Automated repair-cost estimation and parts pricing</w:t>
      </w:r>
    </w:p>
    <w:p>
      <w:pPr>
        <w:pStyle w:val="ListParagraph"/>
        <w:numPr>
          <w:ilvl w:val="0"/>
          <w:numId w:val="1"/>
        </w:numPr>
        <w:spacing w:after="50"/>
      </w:pPr>
      <w:r>
        <w:rPr>
          <w:rFonts w:ascii="Calibri" w:cs="Calibri" w:eastAsia="Calibri" w:hAnsi="Calibri"/>
          <w:color w:val="33354A"/>
          <w:sz w:val="20"/>
          <w:szCs w:val="20"/>
        </w:rPr>
        <w:t xml:space="preserve">Marketplace listing sync (eBay, Back Market and similar)</w:t>
      </w:r>
    </w:p>
    <w:p>
      <w:pPr>
        <w:pStyle w:val="ListParagraph"/>
        <w:numPr>
          <w:ilvl w:val="0"/>
          <w:numId w:val="1"/>
        </w:numPr>
        <w:spacing w:after="50"/>
      </w:pPr>
      <w:r>
        <w:rPr>
          <w:rFonts w:ascii="Calibri" w:cs="Calibri" w:eastAsia="Calibri" w:hAnsi="Calibri"/>
          <w:color w:val="33354A"/>
          <w:sz w:val="20"/>
          <w:szCs w:val="20"/>
        </w:rPr>
        <w:t xml:space="preserve">Interface languages other than English</w:t>
      </w:r>
    </w:p>
    <w:p>
      <w:pPr>
        <w:pStyle w:val="ListParagraph"/>
        <w:numPr>
          <w:ilvl w:val="0"/>
          <w:numId w:val="1"/>
        </w:numPr>
        <w:spacing w:after="50"/>
      </w:pPr>
      <w:r>
        <w:rPr>
          <w:rFonts w:ascii="Calibri" w:cs="Calibri" w:eastAsia="Calibri" w:hAnsi="Calibri"/>
          <w:color w:val="33354A"/>
          <w:sz w:val="20"/>
          <w:szCs w:val="20"/>
        </w:rPr>
        <w:t xml:space="preserve">Robotic device handling and conveyor control</w:t>
      </w:r>
    </w:p>
    <w:p>
      <w:pPr>
        <w:pStyle w:val="ListParagraph"/>
        <w:numPr>
          <w:ilvl w:val="0"/>
          <w:numId w:val="1"/>
        </w:numPr>
        <w:spacing w:after="50"/>
      </w:pPr>
      <w:r>
        <w:rPr>
          <w:rFonts w:ascii="Calibri" w:cs="Calibri" w:eastAsia="Calibri" w:hAnsi="Calibri"/>
          <w:color w:val="33354A"/>
          <w:sz w:val="20"/>
          <w:szCs w:val="20"/>
        </w:rPr>
        <w:t xml:space="preserve">Functional/electrical testing of the device itself (battery cycles, port continuity, screen response)</w:t>
      </w:r>
    </w:p>
    <w:p>
      <w:pPr>
        <w:pStyle w:val="ListParagraph"/>
        <w:numPr>
          <w:ilvl w:val="0"/>
          <w:numId w:val="1"/>
        </w:numPr>
        <w:spacing w:after="50"/>
      </w:pPr>
      <w:r>
        <w:rPr>
          <w:rFonts w:ascii="Calibri" w:cs="Calibri" w:eastAsia="Calibri" w:hAnsi="Calibri"/>
          <w:color w:val="33354A"/>
          <w:sz w:val="20"/>
          <w:szCs w:val="20"/>
        </w:rPr>
        <w:t xml:space="preserve">Integrations beyond the one ERP/WMS endpoint in D-21</w:t>
      </w:r>
    </w:p>
    <w:p>
      <w:pPr>
        <w:pStyle w:val="ListParagraph"/>
        <w:numPr>
          <w:ilvl w:val="0"/>
          <w:numId w:val="1"/>
        </w:numPr>
        <w:spacing w:after="50"/>
      </w:pPr>
      <w:r>
        <w:rPr>
          <w:rFonts w:ascii="Calibri" w:cs="Calibri" w:eastAsia="Calibri" w:hAnsi="Calibri"/>
          <w:color w:val="33354A"/>
          <w:sz w:val="20"/>
          <w:szCs w:val="20"/>
        </w:rPr>
        <w:t xml:space="preserve">Procurement of camera, lighting or GPU hardware</w:t>
      </w:r>
    </w:p>
    <w:p>
      <w:pPr>
        <w:pStyle w:val="ListParagraph"/>
        <w:numPr>
          <w:ilvl w:val="0"/>
          <w:numId w:val="1"/>
        </w:numPr>
        <w:spacing w:after="50"/>
      </w:pPr>
      <w:r>
        <w:rPr>
          <w:rFonts w:ascii="Calibri" w:cs="Calibri" w:eastAsia="Calibri" w:hAnsi="Calibri"/>
          <w:color w:val="33354A"/>
          <w:sz w:val="20"/>
          <w:szCs w:val="20"/>
        </w:rPr>
        <w:t xml:space="preserve">Ongoing managed hosting or a support retainer beyond warranty (Section 16)</w:t>
      </w:r>
    </w:p>
    <w:p>
      <w:pPr>
        <w:spacing w:after="40" w:before="60"/>
      </w:pPr>
      <w:r>
        <w:rPr>
          <w:rFonts w:ascii="Consolas" w:cs="Consolas" w:eastAsia="Consolas" w:hAnsi="Consolas"/>
          <w:b/>
          <w:bCs/>
          <w:color w:val="0E9AAC"/>
          <w:spacing w:val="60"/>
          <w:sz w:val="15"/>
          <w:szCs w:val="15"/>
        </w:rPr>
        <w:t xml:space="preserve">BASIS OF ESTIMATE</w:t>
      </w:r>
    </w:p>
    <w:p>
      <w:pPr>
        <w:pStyle w:val="Heading1"/>
        <w:spacing w:after="120" w:before="60"/>
      </w:pPr>
      <w:r>
        <w:rPr>
          <w:rFonts w:ascii="Consolas" w:cs="Consolas" w:eastAsia="Consolas" w:hAnsi="Consolas"/>
          <w:b/>
          <w:bCs/>
          <w:color w:val="7C3AED"/>
          <w:sz w:val="26"/>
          <w:szCs w:val="26"/>
        </w:rPr>
        <w:t xml:space="preserve">08  </w:t>
      </w:r>
      <w:r>
        <w:rPr>
          <w:rFonts w:ascii="Calibri" w:cs="Calibri" w:eastAsia="Calibri" w:hAnsi="Calibri"/>
          <w:b/>
          <w:bCs/>
          <w:color w:val="0D0E1A"/>
          <w:sz w:val="30"/>
          <w:szCs w:val="30"/>
        </w:rPr>
        <w:t xml:space="preserve">Assumptions &amp; dependencies</w:t>
      </w:r>
    </w:p>
    <w:p>
      <w:pPr>
        <w:spacing w:after="140"/>
      </w:pPr>
      <w:r>
        <w:rPr>
          <w:rFonts w:ascii="Calibri" w:cs="Calibri" w:eastAsia="Calibri" w:hAnsi="Calibri"/>
          <w:color w:val="33354A"/>
          <w:sz w:val="21"/>
          <w:szCs w:val="21"/>
        </w:rPr>
        <w:t xml:space="preserve">The scope, timeline and price in this document rely on the following. A material change to any of them is handled under change control.</w:t>
      </w:r>
    </w:p>
    <w:p>
      <w:pPr>
        <w:pStyle w:val="Heading2"/>
        <w:spacing w:after="90" w:before="220"/>
      </w:pPr>
      <w:r>
        <w:rPr>
          <w:rFonts w:ascii="Calibri" w:cs="Calibri" w:eastAsia="Calibri" w:hAnsi="Calibri"/>
          <w:b/>
          <w:bCs/>
          <w:color w:val="0D0E1A"/>
          <w:sz w:val="21"/>
          <w:szCs w:val="21"/>
        </w:rPr>
        <w:t xml:space="preserve">Assumptions</w:t>
      </w:r>
    </w:p>
    <w:p>
      <w:pPr>
        <w:pStyle w:val="ListParagraph"/>
        <w:numPr>
          <w:ilvl w:val="0"/>
          <w:numId w:val="1"/>
        </w:numPr>
        <w:spacing w:after="50"/>
      </w:pPr>
      <w:r>
        <w:rPr>
          <w:rFonts w:ascii="Calibri" w:cs="Calibri" w:eastAsia="Calibri" w:hAnsi="Calibri"/>
          <w:color w:val="33354A"/>
          <w:sz w:val="20"/>
          <w:szCs w:val="20"/>
        </w:rPr>
        <w:t xml:space="preserve">The Client provides sample devices covering its real intake mix, plus 1,500-3,000 photographs for training</w:t>
      </w:r>
    </w:p>
    <w:p>
      <w:pPr>
        <w:pStyle w:val="ListParagraph"/>
        <w:numPr>
          <w:ilvl w:val="0"/>
          <w:numId w:val="1"/>
        </w:numPr>
        <w:spacing w:after="50"/>
      </w:pPr>
      <w:r>
        <w:rPr>
          <w:rFonts w:ascii="Calibri" w:cs="Calibri" w:eastAsia="Calibri" w:hAnsi="Calibri"/>
          <w:color w:val="33354A"/>
          <w:sz w:val="20"/>
          <w:szCs w:val="20"/>
        </w:rPr>
        <w:t xml:space="preserve">Camera rig, lighting and GPU hardware are procured by the Client and on site by Week 3</w:t>
      </w:r>
    </w:p>
    <w:p>
      <w:pPr>
        <w:pStyle w:val="ListParagraph"/>
        <w:numPr>
          <w:ilvl w:val="0"/>
          <w:numId w:val="1"/>
        </w:numPr>
        <w:spacing w:after="50"/>
      </w:pPr>
      <w:r>
        <w:rPr>
          <w:rFonts w:ascii="Calibri" w:cs="Calibri" w:eastAsia="Calibri" w:hAnsi="Calibri"/>
          <w:color w:val="33354A"/>
          <w:sz w:val="20"/>
          <w:szCs w:val="20"/>
        </w:rPr>
        <w:t xml:space="preserve">One ERP/WMS integration endpoint is in scope</w:t>
      </w:r>
    </w:p>
    <w:p>
      <w:pPr>
        <w:pStyle w:val="ListParagraph"/>
        <w:numPr>
          <w:ilvl w:val="0"/>
          <w:numId w:val="1"/>
        </w:numPr>
        <w:spacing w:after="50"/>
      </w:pPr>
      <w:r>
        <w:rPr>
          <w:rFonts w:ascii="Calibri" w:cs="Calibri" w:eastAsia="Calibri" w:hAnsi="Calibri"/>
          <w:color w:val="33354A"/>
          <w:sz w:val="20"/>
          <w:szCs w:val="20"/>
        </w:rPr>
        <w:t xml:space="preserve">Interface and documentation are English-only</w:t>
      </w:r>
    </w:p>
    <w:p>
      <w:pPr>
        <w:pStyle w:val="ListParagraph"/>
        <w:numPr>
          <w:ilvl w:val="0"/>
          <w:numId w:val="1"/>
        </w:numPr>
        <w:spacing w:after="50"/>
      </w:pPr>
      <w:r>
        <w:rPr>
          <w:rFonts w:ascii="Calibri" w:cs="Calibri" w:eastAsia="Calibri" w:hAnsi="Calibri"/>
          <w:color w:val="33354A"/>
          <w:sz w:val="20"/>
          <w:szCs w:val="20"/>
        </w:rPr>
        <w:t xml:space="preserve">Cloud hosting and third-party licences are billed to the Client at cost</w:t>
      </w:r>
    </w:p>
    <w:p>
      <w:pPr>
        <w:pStyle w:val="Heading2"/>
        <w:spacing w:after="90" w:before="220"/>
      </w:pPr>
      <w:r>
        <w:rPr>
          <w:rFonts w:ascii="Calibri" w:cs="Calibri" w:eastAsia="Calibri" w:hAnsi="Calibri"/>
          <w:b/>
          <w:bCs/>
          <w:color w:val="0D0E1A"/>
          <w:sz w:val="21"/>
          <w:szCs w:val="21"/>
        </w:rPr>
        <w:t xml:space="preserve">Client dependencies</w:t>
      </w:r>
    </w:p>
    <w:p>
      <w:pPr>
        <w:pStyle w:val="ListParagraph"/>
        <w:numPr>
          <w:ilvl w:val="0"/>
          <w:numId w:val="1"/>
        </w:numPr>
        <w:spacing w:after="50"/>
      </w:pPr>
      <w:r>
        <w:rPr>
          <w:rFonts w:ascii="Calibri" w:cs="Calibri" w:eastAsia="Calibri" w:hAnsi="Calibri"/>
          <w:color w:val="33354A"/>
          <w:sz w:val="20"/>
          <w:szCs w:val="20"/>
        </w:rPr>
        <w:t xml:space="preserve">Defect taxonomy and grading rules signed off in Week 1</w:t>
      </w:r>
    </w:p>
    <w:p>
      <w:pPr>
        <w:pStyle w:val="ListParagraph"/>
        <w:numPr>
          <w:ilvl w:val="0"/>
          <w:numId w:val="1"/>
        </w:numPr>
        <w:spacing w:after="50"/>
      </w:pPr>
      <w:r>
        <w:rPr>
          <w:rFonts w:ascii="Calibri" w:cs="Calibri" w:eastAsia="Calibri" w:hAnsi="Calibri"/>
          <w:color w:val="33354A"/>
          <w:sz w:val="20"/>
          <w:szCs w:val="20"/>
        </w:rPr>
        <w:t xml:space="preserve">Two operators and one supervisor available for one day per sprint (labelling, review, UAT)</w:t>
      </w:r>
    </w:p>
    <w:p>
      <w:pPr>
        <w:pStyle w:val="ListParagraph"/>
        <w:numPr>
          <w:ilvl w:val="0"/>
          <w:numId w:val="1"/>
        </w:numPr>
        <w:spacing w:after="50"/>
      </w:pPr>
      <w:r>
        <w:rPr>
          <w:rFonts w:ascii="Calibri" w:cs="Calibri" w:eastAsia="Calibri" w:hAnsi="Calibri"/>
          <w:color w:val="33354A"/>
          <w:sz w:val="20"/>
          <w:szCs w:val="20"/>
        </w:rPr>
        <w:t xml:space="preserve">Timely access to environments, the SSO tenant and the integration endpoint</w:t>
      </w:r>
    </w:p>
    <w:p>
      <w:pPr>
        <w:pStyle w:val="ListParagraph"/>
        <w:numPr>
          <w:ilvl w:val="0"/>
          <w:numId w:val="1"/>
        </w:numPr>
        <w:spacing w:after="50"/>
      </w:pPr>
      <w:r>
        <w:rPr>
          <w:rFonts w:ascii="Calibri" w:cs="Calibri" w:eastAsia="Calibri" w:hAnsi="Calibri"/>
          <w:color w:val="33354A"/>
          <w:sz w:val="20"/>
          <w:szCs w:val="20"/>
        </w:rPr>
        <w:t xml:space="preserve">Decisions and approvals returned within two Business Days of request</w:t>
      </w:r>
    </w:p>
    <w:p>
      <w:pPr>
        <w:pStyle w:val="ListParagraph"/>
        <w:numPr>
          <w:ilvl w:val="0"/>
          <w:numId w:val="1"/>
        </w:numPr>
        <w:spacing w:after="50"/>
      </w:pPr>
      <w:r>
        <w:rPr>
          <w:rFonts w:ascii="Calibri" w:cs="Calibri" w:eastAsia="Calibri" w:hAnsi="Calibri"/>
          <w:color w:val="33354A"/>
          <w:sz w:val="20"/>
          <w:szCs w:val="20"/>
        </w:rPr>
        <w:t xml:space="preserve">A nominated Client project owner empowered to accept deliverables</w:t>
      </w:r>
    </w:p>
    <w:p>
      <w:pPr>
        <w:pBdr>
          <w:left w:val="single" w:color="B7791F" w:sz="18"/>
        </w:pBdr>
        <w:shd w:fill="F4F5FA" w:color="auto" w:val="clear"/>
        <w:spacing w:after="80" w:before="60"/>
      </w:pPr>
      <w:r>
        <w:rPr>
          <w:rFonts w:ascii="Calibri" w:cs="Calibri" w:eastAsia="Calibri" w:hAnsi="Calibri"/>
          <w:b/>
          <w:bCs/>
          <w:color w:val="B7791F"/>
          <w:sz w:val="19"/>
          <w:szCs w:val="19"/>
        </w:rPr>
        <w:t xml:space="preserve">Effect of delay.  </w:t>
      </w:r>
      <w:r>
        <w:rPr>
          <w:rFonts w:ascii="Calibri" w:cs="Calibri" w:eastAsia="Calibri" w:hAnsi="Calibri"/>
          <w:color w:val="33354A"/>
          <w:sz w:val="19"/>
          <w:szCs w:val="19"/>
        </w:rPr>
        <w:t xml:space="preserve">Where a Client dependency is not met by the date required, Pixorama will notify the Client; affected milestone dates move by the period of the delay, and any resulting standing time is handled under change control.</w:t>
      </w:r>
    </w:p>
    <w:p>
      <w:pPr>
        <w:spacing w:after="40" w:before="60"/>
      </w:pPr>
      <w:r>
        <w:rPr>
          <w:rFonts w:ascii="Consolas" w:cs="Consolas" w:eastAsia="Consolas" w:hAnsi="Consolas"/>
          <w:b/>
          <w:bCs/>
          <w:color w:val="0E9AAC"/>
          <w:spacing w:val="60"/>
          <w:sz w:val="15"/>
          <w:szCs w:val="15"/>
        </w:rPr>
        <w:t xml:space="preserve">WHO DOES WHAT</w:t>
      </w:r>
    </w:p>
    <w:p>
      <w:pPr>
        <w:pStyle w:val="Heading1"/>
        <w:spacing w:after="120" w:before="60"/>
      </w:pPr>
      <w:r>
        <w:rPr>
          <w:rFonts w:ascii="Consolas" w:cs="Consolas" w:eastAsia="Consolas" w:hAnsi="Consolas"/>
          <w:b/>
          <w:bCs/>
          <w:color w:val="7C3AED"/>
          <w:sz w:val="26"/>
          <w:szCs w:val="26"/>
        </w:rPr>
        <w:t xml:space="preserve">09  </w:t>
      </w:r>
      <w:r>
        <w:rPr>
          <w:rFonts w:ascii="Calibri" w:cs="Calibri" w:eastAsia="Calibri" w:hAnsi="Calibri"/>
          <w:b/>
          <w:bCs/>
          <w:color w:val="0D0E1A"/>
          <w:sz w:val="30"/>
          <w:szCs w:val="30"/>
        </w:rPr>
        <w:t xml:space="preserve">Responsibilities</w:t>
      </w:r>
    </w:p>
    <w:p>
      <w:pPr>
        <w:spacing w:after="140"/>
      </w:pPr>
      <w:r>
        <w:rPr>
          <w:rFonts w:ascii="Calibri" w:cs="Calibri" w:eastAsia="Calibri" w:hAnsi="Calibri"/>
          <w:color w:val="33354A"/>
          <w:sz w:val="21"/>
          <w:szCs w:val="21"/>
        </w:rPr>
        <w:t xml:space="preserve">Obligations are stated at the level of each party. Pixorama resources the engagement at its own discretion to meet the deliverables and dates in this document.</w:t>
      </w:r>
    </w:p>
    <w:tbl>
      <w:tblPr>
        <w:tblW w:type="dxa" w:w="9026"/>
        <w:tblBorders>
          <w:top w:val="single" w:color="D9DCEA" w:sz="4"/>
          <w:left w:val="none"/>
          <w:bottom w:val="single" w:color="D9DCEA" w:sz="4"/>
          <w:right w:val="none"/>
          <w:insideH w:val="single" w:color="D9DCEA" w:sz="4"/>
          <w:insideV w:val="none"/>
        </w:tblBorders>
      </w:tblPr>
      <w:tblGrid>
        <w:gridCol w:w="4513"/>
        <w:gridCol w:w="4513"/>
      </w:tblGrid>
      <w:tr>
        <w:trPr>
          <w:tblHeader/>
        </w:trPr>
        <w:tc>
          <w:tcPr>
            <w:tcW w:type="dxa" w:w="4513"/>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Pixorama will</w:t>
            </w:r>
          </w:p>
        </w:tc>
        <w:tc>
          <w:tcPr>
            <w:tcW w:type="dxa" w:w="4513"/>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The Client will</w:t>
            </w:r>
          </w:p>
        </w:tc>
      </w:tr>
      <w:tr>
        <w:tc>
          <w:tcPr>
            <w:tcW w:type="dxa" w:w="4513"/>
            <w:tcMar>
              <w:top w:type="dxa" w:w="70"/>
              <w:left w:type="dxa" w:w="110"/>
              <w:bottom w:type="dxa" w:w="70"/>
              <w:right w:type="dxa" w:w="110"/>
            </w:tcMar>
            <w:vAlign w:val="top"/>
          </w:tcPr>
          <w:p>
            <w:pPr>
              <w:pStyle w:val="ListParagraph"/>
              <w:numPr>
                <w:ilvl w:val="0"/>
                <w:numId w:val="1"/>
              </w:numPr>
              <w:spacing w:after="50"/>
            </w:pPr>
            <w:r>
              <w:rPr>
                <w:rFonts w:ascii="Calibri" w:cs="Calibri" w:eastAsia="Calibri" w:hAnsi="Calibri"/>
                <w:color w:val="33354A"/>
                <w:sz w:val="18"/>
                <w:szCs w:val="18"/>
              </w:rPr>
              <w:t xml:space="preserve">Design, build, test and deliver all deliverables in Sections 05-06</w:t>
            </w:r>
          </w:p>
          <w:p>
            <w:pPr>
              <w:pStyle w:val="ListParagraph"/>
              <w:numPr>
                <w:ilvl w:val="0"/>
                <w:numId w:val="1"/>
              </w:numPr>
              <w:spacing w:after="50"/>
            </w:pPr>
            <w:r>
              <w:rPr>
                <w:rFonts w:ascii="Calibri" w:cs="Calibri" w:eastAsia="Calibri" w:hAnsi="Calibri"/>
                <w:color w:val="33354A"/>
                <w:sz w:val="18"/>
                <w:szCs w:val="18"/>
              </w:rPr>
              <w:t xml:space="preserve">Train and evaluate the detection model to the accuracy gate in Section 13</w:t>
            </w:r>
          </w:p>
          <w:p>
            <w:pPr>
              <w:pStyle w:val="ListParagraph"/>
              <w:numPr>
                <w:ilvl w:val="0"/>
                <w:numId w:val="1"/>
              </w:numPr>
              <w:spacing w:after="50"/>
            </w:pPr>
            <w:r>
              <w:rPr>
                <w:rFonts w:ascii="Calibri" w:cs="Calibri" w:eastAsia="Calibri" w:hAnsi="Calibri"/>
                <w:color w:val="33354A"/>
                <w:sz w:val="18"/>
                <w:szCs w:val="18"/>
              </w:rPr>
              <w:t xml:space="preserve">Run system and integration testing, and support Client UAT</w:t>
            </w:r>
          </w:p>
          <w:p>
            <w:pPr>
              <w:pStyle w:val="ListParagraph"/>
              <w:numPr>
                <w:ilvl w:val="0"/>
                <w:numId w:val="1"/>
              </w:numPr>
              <w:spacing w:after="50"/>
            </w:pPr>
            <w:r>
              <w:rPr>
                <w:rFonts w:ascii="Calibri" w:cs="Calibri" w:eastAsia="Calibri" w:hAnsi="Calibri"/>
                <w:color w:val="33354A"/>
                <w:sz w:val="18"/>
                <w:szCs w:val="18"/>
              </w:rPr>
              <w:t xml:space="preserve">Provide the documentation and training in Section 06</w:t>
            </w:r>
          </w:p>
          <w:p>
            <w:pPr>
              <w:pStyle w:val="ListParagraph"/>
              <w:numPr>
                <w:ilvl w:val="0"/>
                <w:numId w:val="1"/>
              </w:numPr>
              <w:spacing w:after="50"/>
            </w:pPr>
            <w:r>
              <w:rPr>
                <w:rFonts w:ascii="Calibri" w:cs="Calibri" w:eastAsia="Calibri" w:hAnsi="Calibri"/>
                <w:color w:val="33354A"/>
                <w:sz w:val="18"/>
                <w:szCs w:val="18"/>
              </w:rPr>
              <w:t xml:space="preserve">Report progress on an agreed cadence; maintain the change log and risk register</w:t>
            </w:r>
          </w:p>
          <w:p>
            <w:pPr>
              <w:pStyle w:val="ListParagraph"/>
              <w:numPr>
                <w:ilvl w:val="0"/>
                <w:numId w:val="1"/>
              </w:numPr>
              <w:spacing w:after="20"/>
            </w:pPr>
            <w:r>
              <w:rPr>
                <w:rFonts w:ascii="Calibri" w:cs="Calibri" w:eastAsia="Calibri" w:hAnsi="Calibri"/>
                <w:color w:val="33354A"/>
                <w:sz w:val="18"/>
                <w:szCs w:val="18"/>
              </w:rPr>
              <w:t xml:space="preserve">Nominate a single point of contact for the Client</w:t>
            </w:r>
          </w:p>
        </w:tc>
        <w:tc>
          <w:tcPr>
            <w:tcW w:type="dxa" w:w="4513"/>
            <w:tcMar>
              <w:top w:type="dxa" w:w="70"/>
              <w:left w:type="dxa" w:w="110"/>
              <w:bottom w:type="dxa" w:w="70"/>
              <w:right w:type="dxa" w:w="110"/>
            </w:tcMar>
            <w:vAlign w:val="top"/>
          </w:tcPr>
          <w:p>
            <w:pPr>
              <w:pStyle w:val="ListParagraph"/>
              <w:numPr>
                <w:ilvl w:val="0"/>
                <w:numId w:val="1"/>
              </w:numPr>
              <w:spacing w:after="50"/>
            </w:pPr>
            <w:r>
              <w:rPr>
                <w:rFonts w:ascii="Calibri" w:cs="Calibri" w:eastAsia="Calibri" w:hAnsi="Calibri"/>
                <w:color w:val="33354A"/>
                <w:sz w:val="18"/>
                <w:szCs w:val="18"/>
              </w:rPr>
              <w:t xml:space="preserve">Provide sample devices, training photography and the signed-off taxonomy and grading rules</w:t>
            </w:r>
          </w:p>
          <w:p>
            <w:pPr>
              <w:pStyle w:val="ListParagraph"/>
              <w:numPr>
                <w:ilvl w:val="0"/>
                <w:numId w:val="1"/>
              </w:numPr>
              <w:spacing w:after="50"/>
            </w:pPr>
            <w:r>
              <w:rPr>
                <w:rFonts w:ascii="Calibri" w:cs="Calibri" w:eastAsia="Calibri" w:hAnsi="Calibri"/>
                <w:color w:val="33354A"/>
                <w:sz w:val="18"/>
                <w:szCs w:val="18"/>
              </w:rPr>
              <w:t xml:space="preserve">Procure and install the camera, lighting and GPU hardware by Week 3</w:t>
            </w:r>
          </w:p>
          <w:p>
            <w:pPr>
              <w:pStyle w:val="ListParagraph"/>
              <w:numPr>
                <w:ilvl w:val="0"/>
                <w:numId w:val="1"/>
              </w:numPr>
              <w:spacing w:after="50"/>
            </w:pPr>
            <w:r>
              <w:rPr>
                <w:rFonts w:ascii="Calibri" w:cs="Calibri" w:eastAsia="Calibri" w:hAnsi="Calibri"/>
                <w:color w:val="33354A"/>
                <w:sz w:val="18"/>
                <w:szCs w:val="18"/>
              </w:rPr>
              <w:t xml:space="preserve">Make operators and a supervisor available for labelling, review and UAT</w:t>
            </w:r>
          </w:p>
          <w:p>
            <w:pPr>
              <w:pStyle w:val="ListParagraph"/>
              <w:numPr>
                <w:ilvl w:val="0"/>
                <w:numId w:val="1"/>
              </w:numPr>
              <w:spacing w:after="50"/>
            </w:pPr>
            <w:r>
              <w:rPr>
                <w:rFonts w:ascii="Calibri" w:cs="Calibri" w:eastAsia="Calibri" w:hAnsi="Calibri"/>
                <w:color w:val="33354A"/>
                <w:sz w:val="18"/>
                <w:szCs w:val="18"/>
              </w:rPr>
              <w:t xml:space="preserve">Provide access to environments, the SSO tenant and the integration endpoint</w:t>
            </w:r>
          </w:p>
          <w:p>
            <w:pPr>
              <w:pStyle w:val="ListParagraph"/>
              <w:numPr>
                <w:ilvl w:val="0"/>
                <w:numId w:val="1"/>
              </w:numPr>
              <w:spacing w:after="50"/>
            </w:pPr>
            <w:r>
              <w:rPr>
                <w:rFonts w:ascii="Calibri" w:cs="Calibri" w:eastAsia="Calibri" w:hAnsi="Calibri"/>
                <w:color w:val="33354A"/>
                <w:sz w:val="18"/>
                <w:szCs w:val="18"/>
              </w:rPr>
              <w:t xml:space="preserve">Review deliverables and return acceptance decisions within the windows in Section 12</w:t>
            </w:r>
          </w:p>
          <w:p>
            <w:pPr>
              <w:pStyle w:val="ListParagraph"/>
              <w:numPr>
                <w:ilvl w:val="0"/>
                <w:numId w:val="1"/>
              </w:numPr>
              <w:spacing w:after="20"/>
            </w:pPr>
            <w:r>
              <w:rPr>
                <w:rFonts w:ascii="Calibri" w:cs="Calibri" w:eastAsia="Calibri" w:hAnsi="Calibri"/>
                <w:color w:val="33354A"/>
                <w:sz w:val="18"/>
                <w:szCs w:val="18"/>
              </w:rPr>
              <w:t xml:space="preserve">Nominate an empowered project owner to accept deliverables and resolve escalations</w:t>
            </w:r>
          </w:p>
        </w:tc>
      </w:tr>
    </w:tbl>
    <w:p>
      <w:r>
        <w:br w:type="page"/>
      </w:r>
    </w:p>
    <w:p>
      <w:pPr>
        <w:spacing w:after="40" w:before="60"/>
      </w:pPr>
      <w:r>
        <w:rPr>
          <w:rFonts w:ascii="Consolas" w:cs="Consolas" w:eastAsia="Consolas" w:hAnsi="Consolas"/>
          <w:b/>
          <w:bCs/>
          <w:color w:val="0E9AAC"/>
          <w:spacing w:val="60"/>
          <w:sz w:val="15"/>
          <w:szCs w:val="15"/>
        </w:rPr>
        <w:t xml:space="preserve">HOW &amp; WHEN</w:t>
      </w:r>
    </w:p>
    <w:p>
      <w:pPr>
        <w:pStyle w:val="Heading1"/>
        <w:spacing w:after="120" w:before="60"/>
      </w:pPr>
      <w:r>
        <w:rPr>
          <w:rFonts w:ascii="Consolas" w:cs="Consolas" w:eastAsia="Consolas" w:hAnsi="Consolas"/>
          <w:b/>
          <w:bCs/>
          <w:color w:val="7C3AED"/>
          <w:sz w:val="26"/>
          <w:szCs w:val="26"/>
        </w:rPr>
        <w:t xml:space="preserve">10  </w:t>
      </w:r>
      <w:r>
        <w:rPr>
          <w:rFonts w:ascii="Calibri" w:cs="Calibri" w:eastAsia="Calibri" w:hAnsi="Calibri"/>
          <w:b/>
          <w:bCs/>
          <w:color w:val="0D0E1A"/>
          <w:sz w:val="30"/>
          <w:szCs w:val="30"/>
        </w:rPr>
        <w:t xml:space="preserve">Delivery approach &amp; timeline</w:t>
      </w:r>
    </w:p>
    <w:p>
      <w:pPr>
        <w:spacing w:after="140"/>
      </w:pPr>
      <w:r>
        <w:rPr>
          <w:rFonts w:ascii="Calibri" w:cs="Calibri" w:eastAsia="Calibri" w:hAnsi="Calibri"/>
          <w:color w:val="33354A"/>
          <w:sz w:val="21"/>
          <w:szCs w:val="21"/>
        </w:rPr>
        <w:t xml:space="preserve">Twelve weeks: four two-week sprints to feature-complete, then a four-week test and acceptance phase. Each sprint ends in a working demo on staging and a stated exit criterion. Code freezes at the end of Week 8.</w:t>
      </w:r>
    </w:p>
    <w:tbl>
      <w:tblPr>
        <w:tblW w:type="dxa" w:w="9026"/>
        <w:tblBorders>
          <w:top w:val="single" w:color="D9DCEA" w:sz="4"/>
          <w:left w:val="none"/>
          <w:bottom w:val="single" w:color="D9DCEA" w:sz="4"/>
          <w:right w:val="none"/>
          <w:insideH w:val="single" w:color="D9DCEA" w:sz="4"/>
          <w:insideV w:val="none"/>
        </w:tblBorders>
      </w:tblPr>
      <w:tblGrid>
        <w:gridCol w:w="2400"/>
        <w:gridCol w:w="1600"/>
        <w:gridCol w:w="5026"/>
      </w:tblGrid>
      <w:tr>
        <w:trPr>
          <w:tblHeader/>
        </w:trPr>
        <w:tc>
          <w:tcPr>
            <w:tcW w:type="dxa" w:w="24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Phase</w:t>
            </w:r>
          </w:p>
        </w:tc>
        <w:tc>
          <w:tcPr>
            <w:tcW w:type="dxa" w:w="16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Weeks</w:t>
            </w:r>
          </w:p>
        </w:tc>
        <w:tc>
          <w:tcPr>
            <w:tcW w:type="dxa" w:w="50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Focus</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Sprint 1 · Foundations</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W1-W2</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Auth, RBAC, app shell (WS1)</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Sprint 2 · Capture &amp; AI</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W3-W4</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Inspection station, inference pipeline (WS2-3)</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Sprint 3 · Review &amp; grade</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W5-W6</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Annotation, grading engine (WS4)</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Sprint 4 · Records &amp; admin</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W7-W8</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History, reporting, admin (WS5-6). Code freeze.</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Model training</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W3-W10</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Label, train, evaluate, promote (continuous)</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SIT &amp; regression</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W9</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System integration and automated regression</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UAT &amp; accuracy</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W10</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Client UAT; model scored on the holdout set</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Perf · security · a11y</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W11</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Load, penetration test, accessibility audit</w:t>
            </w:r>
          </w:p>
        </w:tc>
      </w:tr>
      <w:tr>
        <w:tc>
          <w:tcPr>
            <w:tcW w:type="dxa" w:w="2400"/>
            <w:tcMar>
              <w:top w:type="dxa" w:w="70"/>
              <w:left w:type="dxa" w:w="110"/>
              <w:bottom w:type="dxa" w:w="70"/>
              <w:right w:type="dxa" w:w="110"/>
            </w:tcMar>
            <w:vAlign w:val="top"/>
          </w:tcPr>
          <w:p>
            <w:r>
              <w:rPr>
                <w:rFonts w:ascii="Calibri" w:cs="Calibri" w:eastAsia="Calibri" w:hAnsi="Calibri"/>
                <w:b/>
                <w:bCs/>
                <w:color w:val="0D0E1A"/>
                <w:sz w:val="18"/>
                <w:szCs w:val="18"/>
              </w:rPr>
              <w:t xml:space="preserve">Pilot &amp; handover</w:t>
            </w:r>
          </w:p>
        </w:tc>
        <w:tc>
          <w:tcPr>
            <w:tcW w:type="dxa" w:w="1600"/>
            <w:tcMar>
              <w:top w:type="dxa" w:w="70"/>
              <w:left w:type="dxa" w:w="110"/>
              <w:bottom w:type="dxa" w:w="70"/>
              <w:right w:type="dxa" w:w="110"/>
            </w:tcMar>
            <w:vAlign w:val="top"/>
          </w:tcPr>
          <w:p>
            <w:r>
              <w:rPr>
                <w:rFonts w:ascii="Consolas" w:cs="Consolas" w:eastAsia="Consolas" w:hAnsi="Consolas"/>
                <w:b w:val="false"/>
                <w:bCs w:val="false"/>
                <w:color w:val="7C3AED"/>
                <w:sz w:val="16"/>
                <w:szCs w:val="16"/>
              </w:rPr>
              <w:t xml:space="preserve">W12</w:t>
            </w:r>
          </w:p>
        </w:tc>
        <w:tc>
          <w:tcPr>
            <w:tcW w:type="dxa" w:w="5026"/>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Live pilot line, training, cutover</w:t>
            </w:r>
          </w:p>
        </w:tc>
      </w:tr>
    </w:tbl>
    <w:p>
      <w:pPr>
        <w:spacing w:after="40" w:before="60"/>
      </w:pPr>
      <w:r>
        <w:rPr>
          <w:rFonts w:ascii="Consolas" w:cs="Consolas" w:eastAsia="Consolas" w:hAnsi="Consolas"/>
          <w:b/>
          <w:bCs/>
          <w:color w:val="0E9AAC"/>
          <w:spacing w:val="60"/>
          <w:sz w:val="15"/>
          <w:szCs w:val="15"/>
        </w:rPr>
        <w:t xml:space="preserve">SCHEDULE</w:t>
      </w:r>
    </w:p>
    <w:p>
      <w:pPr>
        <w:pStyle w:val="Heading1"/>
        <w:spacing w:after="120" w:before="60"/>
      </w:pPr>
      <w:r>
        <w:rPr>
          <w:rFonts w:ascii="Consolas" w:cs="Consolas" w:eastAsia="Consolas" w:hAnsi="Consolas"/>
          <w:b/>
          <w:bCs/>
          <w:color w:val="7C3AED"/>
          <w:sz w:val="26"/>
          <w:szCs w:val="26"/>
        </w:rPr>
        <w:t xml:space="preserve">11  </w:t>
      </w:r>
      <w:r>
        <w:rPr>
          <w:rFonts w:ascii="Calibri" w:cs="Calibri" w:eastAsia="Calibri" w:hAnsi="Calibri"/>
          <w:b/>
          <w:bCs/>
          <w:color w:val="0D0E1A"/>
          <w:sz w:val="30"/>
          <w:szCs w:val="30"/>
        </w:rPr>
        <w:t xml:space="preserve">Milestones &amp; deliverable schedule</w:t>
      </w:r>
    </w:p>
    <w:p>
      <w:pPr>
        <w:spacing w:after="140"/>
      </w:pPr>
      <w:r>
        <w:rPr>
          <w:rFonts w:ascii="Calibri" w:cs="Calibri" w:eastAsia="Calibri" w:hAnsi="Calibri"/>
          <w:color w:val="33354A"/>
          <w:sz w:val="21"/>
          <w:szCs w:val="21"/>
        </w:rPr>
        <w:t xml:space="preserve">Each milestone is either a demonstration (Demo) or a formal gate (Gate). Payment is linked to the milestones in Section 15.</w:t>
      </w:r>
    </w:p>
    <w:tbl>
      <w:tblPr>
        <w:tblW w:type="dxa" w:w="9026"/>
        <w:tblBorders>
          <w:top w:val="single" w:color="D9DCEA" w:sz="4"/>
          <w:left w:val="none"/>
          <w:bottom w:val="single" w:color="D9DCEA" w:sz="4"/>
          <w:right w:val="none"/>
          <w:insideH w:val="single" w:color="D9DCEA" w:sz="4"/>
          <w:insideV w:val="none"/>
        </w:tblBorders>
      </w:tblPr>
      <w:tblGrid>
        <w:gridCol w:w="620"/>
        <w:gridCol w:w="2200"/>
        <w:gridCol w:w="4380"/>
        <w:gridCol w:w="1826"/>
      </w:tblGrid>
      <w:tr>
        <w:trPr>
          <w:tblHeader/>
        </w:trPr>
        <w:tc>
          <w:tcPr>
            <w:tcW w:type="dxa" w:w="62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ID</w:t>
            </w:r>
          </w:p>
        </w:tc>
        <w:tc>
          <w:tcPr>
            <w:tcW w:type="dxa" w:w="22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Milestone</w:t>
            </w:r>
          </w:p>
        </w:tc>
        <w:tc>
          <w:tcPr>
            <w:tcW w:type="dxa" w:w="438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Deliverables</w:t>
            </w:r>
          </w:p>
        </w:tc>
        <w:tc>
          <w:tcPr>
            <w:tcW w:type="dxa" w:w="18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Timing · type</w:t>
            </w:r>
          </w:p>
        </w:tc>
      </w:tr>
      <w:tr>
        <w:tc>
          <w:tcPr>
            <w:tcW w:type="dxa" w:w="620"/>
            <w:tcMar>
              <w:top w:type="dxa" w:w="70"/>
              <w:left w:type="dxa" w:w="110"/>
              <w:bottom w:type="dxa" w:w="70"/>
              <w:right w:type="dxa" w:w="110"/>
            </w:tcMar>
            <w:vAlign w:val="top"/>
          </w:tcPr>
          <w:p>
            <w:r>
              <w:rPr>
                <w:rFonts w:ascii="Consolas" w:cs="Consolas" w:eastAsia="Consolas" w:hAnsi="Consolas"/>
                <w:b/>
                <w:bCs/>
                <w:color w:val="7C3AED"/>
                <w:sz w:val="16"/>
                <w:szCs w:val="16"/>
              </w:rPr>
              <w:t xml:space="preserve">M1</w:t>
            </w:r>
          </w:p>
        </w:tc>
        <w:tc>
          <w:tcPr>
            <w:tcW w:type="dxa" w:w="2200"/>
            <w:tcMar>
              <w:top w:type="dxa" w:w="70"/>
              <w:left w:type="dxa" w:w="110"/>
              <w:bottom w:type="dxa" w:w="70"/>
              <w:right w:type="dxa" w:w="110"/>
            </w:tcMar>
            <w:vAlign w:val="top"/>
          </w:tcPr>
          <w:p>
            <w:r>
              <w:rPr>
                <w:rFonts w:ascii="Calibri" w:cs="Calibri" w:eastAsia="Calibri" w:hAnsi="Calibri"/>
                <w:b/>
                <w:bCs/>
                <w:color w:val="0D0E1A"/>
                <w:sz w:val="18"/>
                <w:szCs w:val="18"/>
              </w:rPr>
              <w:t xml:space="preserve">Foundations live</w:t>
            </w:r>
          </w:p>
        </w:tc>
        <w:tc>
          <w:tcPr>
            <w:tcW w:type="dxa" w:w="438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D-01 to D-05 — environments, auth, RBAC, app shell; taxonomy sign-off underway.</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6A6C83"/>
                <w:sz w:val="15"/>
                <w:szCs w:val="15"/>
              </w:rPr>
              <w:t xml:space="preserve">End W2 · Demo</w:t>
            </w:r>
          </w:p>
        </w:tc>
      </w:tr>
      <w:tr>
        <w:tc>
          <w:tcPr>
            <w:tcW w:type="dxa" w:w="620"/>
            <w:tcMar>
              <w:top w:type="dxa" w:w="70"/>
              <w:left w:type="dxa" w:w="110"/>
              <w:bottom w:type="dxa" w:w="70"/>
              <w:right w:type="dxa" w:w="110"/>
            </w:tcMar>
            <w:vAlign w:val="top"/>
          </w:tcPr>
          <w:p>
            <w:r>
              <w:rPr>
                <w:rFonts w:ascii="Consolas" w:cs="Consolas" w:eastAsia="Consolas" w:hAnsi="Consolas"/>
                <w:b/>
                <w:bCs/>
                <w:color w:val="7C3AED"/>
                <w:sz w:val="16"/>
                <w:szCs w:val="16"/>
              </w:rPr>
              <w:t xml:space="preserve">M2</w:t>
            </w:r>
          </w:p>
        </w:tc>
        <w:tc>
          <w:tcPr>
            <w:tcW w:type="dxa" w:w="2200"/>
            <w:tcMar>
              <w:top w:type="dxa" w:w="70"/>
              <w:left w:type="dxa" w:w="110"/>
              <w:bottom w:type="dxa" w:w="70"/>
              <w:right w:type="dxa" w:w="110"/>
            </w:tcMar>
            <w:vAlign w:val="top"/>
          </w:tcPr>
          <w:p>
            <w:r>
              <w:rPr>
                <w:rFonts w:ascii="Calibri" w:cs="Calibri" w:eastAsia="Calibri" w:hAnsi="Calibri"/>
                <w:b/>
                <w:bCs/>
                <w:color w:val="0D0E1A"/>
                <w:sz w:val="18"/>
                <w:szCs w:val="18"/>
              </w:rPr>
              <w:t xml:space="preserve">First device graded</w:t>
            </w:r>
          </w:p>
        </w:tc>
        <w:tc>
          <w:tcPr>
            <w:tcW w:type="dxa" w:w="438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D-06 to D-13 — capture and the AI pipeline; a real device returned with detections.</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6A6C83"/>
                <w:sz w:val="15"/>
                <w:szCs w:val="15"/>
              </w:rPr>
              <w:t xml:space="preserve">End W4 · Demo</w:t>
            </w:r>
          </w:p>
        </w:tc>
      </w:tr>
      <w:tr>
        <w:tc>
          <w:tcPr>
            <w:tcW w:type="dxa" w:w="620"/>
            <w:tcMar>
              <w:top w:type="dxa" w:w="70"/>
              <w:left w:type="dxa" w:w="110"/>
              <w:bottom w:type="dxa" w:w="70"/>
              <w:right w:type="dxa" w:w="110"/>
            </w:tcMar>
            <w:vAlign w:val="top"/>
          </w:tcPr>
          <w:p>
            <w:r>
              <w:rPr>
                <w:rFonts w:ascii="Consolas" w:cs="Consolas" w:eastAsia="Consolas" w:hAnsi="Consolas"/>
                <w:b/>
                <w:bCs/>
                <w:color w:val="7C3AED"/>
                <w:sz w:val="16"/>
                <w:szCs w:val="16"/>
              </w:rPr>
              <w:t xml:space="preserve">M3</w:t>
            </w:r>
          </w:p>
        </w:tc>
        <w:tc>
          <w:tcPr>
            <w:tcW w:type="dxa" w:w="2200"/>
            <w:tcMar>
              <w:top w:type="dxa" w:w="70"/>
              <w:left w:type="dxa" w:w="110"/>
              <w:bottom w:type="dxa" w:w="70"/>
              <w:right w:type="dxa" w:w="110"/>
            </w:tcMar>
            <w:vAlign w:val="top"/>
          </w:tcPr>
          <w:p>
            <w:r>
              <w:rPr>
                <w:rFonts w:ascii="Calibri" w:cs="Calibri" w:eastAsia="Calibri" w:hAnsi="Calibri"/>
                <w:b/>
                <w:bCs/>
                <w:color w:val="0D0E1A"/>
                <w:sz w:val="18"/>
                <w:szCs w:val="18"/>
              </w:rPr>
              <w:t xml:space="preserve">Review &amp; grading</w:t>
            </w:r>
          </w:p>
        </w:tc>
        <w:tc>
          <w:tcPr>
            <w:tcW w:type="dxa" w:w="438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D-14 to D-17 — annotation, correction, grading engine and disposition.</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6A6C83"/>
                <w:sz w:val="15"/>
                <w:szCs w:val="15"/>
              </w:rPr>
              <w:t xml:space="preserve">End W6 · Demo</w:t>
            </w:r>
          </w:p>
        </w:tc>
      </w:tr>
      <w:tr>
        <w:tc>
          <w:tcPr>
            <w:tcW w:type="dxa" w:w="620"/>
            <w:tcMar>
              <w:top w:type="dxa" w:w="70"/>
              <w:left w:type="dxa" w:w="110"/>
              <w:bottom w:type="dxa" w:w="70"/>
              <w:right w:type="dxa" w:w="110"/>
            </w:tcMar>
            <w:vAlign w:val="top"/>
          </w:tcPr>
          <w:p>
            <w:r>
              <w:rPr>
                <w:rFonts w:ascii="Consolas" w:cs="Consolas" w:eastAsia="Consolas" w:hAnsi="Consolas"/>
                <w:b/>
                <w:bCs/>
                <w:color w:val="7C3AED"/>
                <w:sz w:val="16"/>
                <w:szCs w:val="16"/>
              </w:rPr>
              <w:t xml:space="preserve">M4</w:t>
            </w:r>
          </w:p>
        </w:tc>
        <w:tc>
          <w:tcPr>
            <w:tcW w:type="dxa" w:w="2200"/>
            <w:tcMar>
              <w:top w:type="dxa" w:w="70"/>
              <w:left w:type="dxa" w:w="110"/>
              <w:bottom w:type="dxa" w:w="70"/>
              <w:right w:type="dxa" w:w="110"/>
            </w:tcMar>
            <w:vAlign w:val="top"/>
          </w:tcPr>
          <w:p>
            <w:r>
              <w:rPr>
                <w:rFonts w:ascii="Calibri" w:cs="Calibri" w:eastAsia="Calibri" w:hAnsi="Calibri"/>
                <w:b/>
                <w:bCs/>
                <w:color w:val="0D0E1A"/>
                <w:sz w:val="18"/>
                <w:szCs w:val="18"/>
              </w:rPr>
              <w:t xml:space="preserve">Feature complete</w:t>
            </w:r>
          </w:p>
        </w:tc>
        <w:tc>
          <w:tcPr>
            <w:tcW w:type="dxa" w:w="438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D-18 to D-25 — records, data, dashboard, analytics, admin, audit. Code freeze.</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6A6C83"/>
                <w:sz w:val="15"/>
                <w:szCs w:val="15"/>
              </w:rPr>
              <w:t xml:space="preserve">End W8 · Gate</w:t>
            </w:r>
          </w:p>
        </w:tc>
      </w:tr>
      <w:tr>
        <w:tc>
          <w:tcPr>
            <w:tcW w:type="dxa" w:w="620"/>
            <w:tcMar>
              <w:top w:type="dxa" w:w="70"/>
              <w:left w:type="dxa" w:w="110"/>
              <w:bottom w:type="dxa" w:w="70"/>
              <w:right w:type="dxa" w:w="110"/>
            </w:tcMar>
            <w:vAlign w:val="top"/>
          </w:tcPr>
          <w:p>
            <w:r>
              <w:rPr>
                <w:rFonts w:ascii="Consolas" w:cs="Consolas" w:eastAsia="Consolas" w:hAnsi="Consolas"/>
                <w:b/>
                <w:bCs/>
                <w:color w:val="7C3AED"/>
                <w:sz w:val="16"/>
                <w:szCs w:val="16"/>
              </w:rPr>
              <w:t xml:space="preserve">M5</w:t>
            </w:r>
          </w:p>
        </w:tc>
        <w:tc>
          <w:tcPr>
            <w:tcW w:type="dxa" w:w="2200"/>
            <w:tcMar>
              <w:top w:type="dxa" w:w="70"/>
              <w:left w:type="dxa" w:w="110"/>
              <w:bottom w:type="dxa" w:w="70"/>
              <w:right w:type="dxa" w:w="110"/>
            </w:tcMar>
            <w:vAlign w:val="top"/>
          </w:tcPr>
          <w:p>
            <w:r>
              <w:rPr>
                <w:rFonts w:ascii="Calibri" w:cs="Calibri" w:eastAsia="Calibri" w:hAnsi="Calibri"/>
                <w:b/>
                <w:bCs/>
                <w:color w:val="0D0E1A"/>
                <w:sz w:val="18"/>
                <w:szCs w:val="18"/>
              </w:rPr>
              <w:t xml:space="preserve">UAT &amp; accuracy signed off</w:t>
            </w:r>
          </w:p>
        </w:tc>
        <w:tc>
          <w:tcPr>
            <w:tcW w:type="dxa" w:w="438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UAT passed; model meets the accuracy gate in Section 13.</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6A6C83"/>
                <w:sz w:val="15"/>
                <w:szCs w:val="15"/>
              </w:rPr>
              <w:t xml:space="preserve">End W10 · Gate</w:t>
            </w:r>
          </w:p>
        </w:tc>
      </w:tr>
      <w:tr>
        <w:tc>
          <w:tcPr>
            <w:tcW w:type="dxa" w:w="620"/>
            <w:tcMar>
              <w:top w:type="dxa" w:w="70"/>
              <w:left w:type="dxa" w:w="110"/>
              <w:bottom w:type="dxa" w:w="70"/>
              <w:right w:type="dxa" w:w="110"/>
            </w:tcMar>
            <w:vAlign w:val="top"/>
          </w:tcPr>
          <w:p>
            <w:r>
              <w:rPr>
                <w:rFonts w:ascii="Consolas" w:cs="Consolas" w:eastAsia="Consolas" w:hAnsi="Consolas"/>
                <w:b/>
                <w:bCs/>
                <w:color w:val="7C3AED"/>
                <w:sz w:val="16"/>
                <w:szCs w:val="16"/>
              </w:rPr>
              <w:t xml:space="preserve">M6</w:t>
            </w:r>
          </w:p>
        </w:tc>
        <w:tc>
          <w:tcPr>
            <w:tcW w:type="dxa" w:w="2200"/>
            <w:tcMar>
              <w:top w:type="dxa" w:w="70"/>
              <w:left w:type="dxa" w:w="110"/>
              <w:bottom w:type="dxa" w:w="70"/>
              <w:right w:type="dxa" w:w="110"/>
            </w:tcMar>
            <w:vAlign w:val="top"/>
          </w:tcPr>
          <w:p>
            <w:r>
              <w:rPr>
                <w:rFonts w:ascii="Calibri" w:cs="Calibri" w:eastAsia="Calibri" w:hAnsi="Calibri"/>
                <w:b/>
                <w:bCs/>
                <w:color w:val="0D0E1A"/>
                <w:sz w:val="18"/>
                <w:szCs w:val="18"/>
              </w:rPr>
              <w:t xml:space="preserve">Production go-live &amp; handover</w:t>
            </w:r>
          </w:p>
        </w:tc>
        <w:tc>
          <w:tcPr>
            <w:tcW w:type="dxa" w:w="4380"/>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Pilot line stable; documentation and training delivered; handover accepted.</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6A6C83"/>
                <w:sz w:val="15"/>
                <w:szCs w:val="15"/>
              </w:rPr>
              <w:t xml:space="preserve">End W12 · Gate</w:t>
            </w:r>
          </w:p>
        </w:tc>
      </w:tr>
    </w:tbl>
    <w:p>
      <w:r>
        <w:br w:type="page"/>
      </w:r>
    </w:p>
    <w:p>
      <w:pPr>
        <w:spacing w:after="40" w:before="60"/>
      </w:pPr>
      <w:r>
        <w:rPr>
          <w:rFonts w:ascii="Consolas" w:cs="Consolas" w:eastAsia="Consolas" w:hAnsi="Consolas"/>
          <w:b/>
          <w:bCs/>
          <w:color w:val="0E9AAC"/>
          <w:spacing w:val="60"/>
          <w:sz w:val="15"/>
          <w:szCs w:val="15"/>
        </w:rPr>
        <w:t xml:space="preserve">SIGN-OFF</w:t>
      </w:r>
    </w:p>
    <w:p>
      <w:pPr>
        <w:pStyle w:val="Heading1"/>
        <w:spacing w:after="120" w:before="60"/>
      </w:pPr>
      <w:r>
        <w:rPr>
          <w:rFonts w:ascii="Consolas" w:cs="Consolas" w:eastAsia="Consolas" w:hAnsi="Consolas"/>
          <w:b/>
          <w:bCs/>
          <w:color w:val="7C3AED"/>
          <w:sz w:val="26"/>
          <w:szCs w:val="26"/>
        </w:rPr>
        <w:t xml:space="preserve">12  </w:t>
      </w:r>
      <w:r>
        <w:rPr>
          <w:rFonts w:ascii="Calibri" w:cs="Calibri" w:eastAsia="Calibri" w:hAnsi="Calibri"/>
          <w:b/>
          <w:bCs/>
          <w:color w:val="0D0E1A"/>
          <w:sz w:val="30"/>
          <w:szCs w:val="30"/>
        </w:rPr>
        <w:t xml:space="preserve">Acceptance process &amp; criteria</w:t>
      </w:r>
    </w:p>
    <w:p>
      <w:pPr>
        <w:spacing w:after="140"/>
      </w:pPr>
      <w:r>
        <w:rPr>
          <w:rFonts w:ascii="Calibri" w:cs="Calibri" w:eastAsia="Calibri" w:hAnsi="Calibri"/>
          <w:color w:val="33354A"/>
          <w:sz w:val="21"/>
          <w:szCs w:val="21"/>
        </w:rPr>
        <w:t xml:space="preserve">How each deliverable and milestone is reviewed, corrected and accepted.</w:t>
      </w:r>
    </w:p>
    <w:p>
      <w:pPr>
        <w:spacing w:after="110"/>
      </w:pPr>
      <w:r>
        <w:rPr>
          <w:rFonts w:ascii="Consolas" w:cs="Consolas" w:eastAsia="Consolas" w:hAnsi="Consolas"/>
          <w:b/>
          <w:bCs/>
          <w:color w:val="7C3AED"/>
          <w:sz w:val="16"/>
          <w:szCs w:val="16"/>
        </w:rPr>
        <w:t xml:space="preserve">01   </w:t>
      </w:r>
      <w:r>
        <w:rPr>
          <w:rFonts w:ascii="Calibri" w:cs="Calibri" w:eastAsia="Calibri" w:hAnsi="Calibri"/>
          <w:b/>
          <w:bCs/>
          <w:color w:val="0D0E1A"/>
          <w:sz w:val="20"/>
          <w:szCs w:val="20"/>
        </w:rPr>
        <w:t xml:space="preserve">Review window  </w:t>
      </w:r>
      <w:r>
        <w:rPr>
          <w:rFonts w:ascii="Calibri" w:cs="Calibri" w:eastAsia="Calibri" w:hAnsi="Calibri"/>
          <w:color w:val="33354A"/>
          <w:sz w:val="20"/>
          <w:szCs w:val="20"/>
        </w:rPr>
        <w:t xml:space="preserve">On submission of a deliverable, the Client has five Business Days to review it against its acceptance basis (Section 05) and either accept it or issue a written list of defects referencing specific criteria.</w:t>
      </w:r>
    </w:p>
    <w:p>
      <w:pPr>
        <w:spacing w:after="110"/>
      </w:pPr>
      <w:r>
        <w:rPr>
          <w:rFonts w:ascii="Consolas" w:cs="Consolas" w:eastAsia="Consolas" w:hAnsi="Consolas"/>
          <w:b/>
          <w:bCs/>
          <w:color w:val="7C3AED"/>
          <w:sz w:val="16"/>
          <w:szCs w:val="16"/>
        </w:rPr>
        <w:t xml:space="preserve">02   </w:t>
      </w:r>
      <w:r>
        <w:rPr>
          <w:rFonts w:ascii="Calibri" w:cs="Calibri" w:eastAsia="Calibri" w:hAnsi="Calibri"/>
          <w:b/>
          <w:bCs/>
          <w:color w:val="0D0E1A"/>
          <w:sz w:val="20"/>
          <w:szCs w:val="20"/>
        </w:rPr>
        <w:t xml:space="preserve">Correction  </w:t>
      </w:r>
      <w:r>
        <w:rPr>
          <w:rFonts w:ascii="Calibri" w:cs="Calibri" w:eastAsia="Calibri" w:hAnsi="Calibri"/>
          <w:color w:val="33354A"/>
          <w:sz w:val="20"/>
          <w:szCs w:val="20"/>
        </w:rPr>
        <w:t xml:space="preserve">Pixorama corrects valid defects and re-submits. The review window restarts for the re-submitted deliverable, limited to the previously raised items.</w:t>
      </w:r>
    </w:p>
    <w:p>
      <w:pPr>
        <w:spacing w:after="110"/>
      </w:pPr>
      <w:r>
        <w:rPr>
          <w:rFonts w:ascii="Consolas" w:cs="Consolas" w:eastAsia="Consolas" w:hAnsi="Consolas"/>
          <w:b/>
          <w:bCs/>
          <w:color w:val="7C3AED"/>
          <w:sz w:val="16"/>
          <w:szCs w:val="16"/>
        </w:rPr>
        <w:t xml:space="preserve">03   </w:t>
      </w:r>
      <w:r>
        <w:rPr>
          <w:rFonts w:ascii="Calibri" w:cs="Calibri" w:eastAsia="Calibri" w:hAnsi="Calibri"/>
          <w:b/>
          <w:bCs/>
          <w:color w:val="0D0E1A"/>
          <w:sz w:val="20"/>
          <w:szCs w:val="20"/>
        </w:rPr>
        <w:t xml:space="preserve">Deemed acceptance  </w:t>
      </w:r>
      <w:r>
        <w:rPr>
          <w:rFonts w:ascii="Calibri" w:cs="Calibri" w:eastAsia="Calibri" w:hAnsi="Calibri"/>
          <w:color w:val="33354A"/>
          <w:sz w:val="20"/>
          <w:szCs w:val="20"/>
        </w:rPr>
        <w:t xml:space="preserve">A deliverable is deemed accepted if the Client raises no written defects within the review window, or if it is used in production.</w:t>
      </w:r>
    </w:p>
    <w:p>
      <w:pPr>
        <w:spacing w:after="110"/>
      </w:pPr>
      <w:r>
        <w:rPr>
          <w:rFonts w:ascii="Consolas" w:cs="Consolas" w:eastAsia="Consolas" w:hAnsi="Consolas"/>
          <w:b/>
          <w:bCs/>
          <w:color w:val="7C3AED"/>
          <w:sz w:val="16"/>
          <w:szCs w:val="16"/>
        </w:rPr>
        <w:t xml:space="preserve">04   </w:t>
      </w:r>
      <w:r>
        <w:rPr>
          <w:rFonts w:ascii="Calibri" w:cs="Calibri" w:eastAsia="Calibri" w:hAnsi="Calibri"/>
          <w:b/>
          <w:bCs/>
          <w:color w:val="0D0E1A"/>
          <w:sz w:val="20"/>
          <w:szCs w:val="20"/>
        </w:rPr>
        <w:t xml:space="preserve">Partial acceptance  </w:t>
      </w:r>
      <w:r>
        <w:rPr>
          <w:rFonts w:ascii="Calibri" w:cs="Calibri" w:eastAsia="Calibri" w:hAnsi="Calibri"/>
          <w:color w:val="33354A"/>
          <w:sz w:val="20"/>
          <w:szCs w:val="20"/>
        </w:rPr>
        <w:t xml:space="preserve">A deliverable is not rejected as a whole for minor (S3/S4) defects; it is accepted with those items logged for correction inside the warranty period.</w:t>
      </w:r>
    </w:p>
    <w:p>
      <w:pPr>
        <w:spacing w:after="110"/>
      </w:pPr>
      <w:r>
        <w:rPr>
          <w:rFonts w:ascii="Consolas" w:cs="Consolas" w:eastAsia="Consolas" w:hAnsi="Consolas"/>
          <w:b/>
          <w:bCs/>
          <w:color w:val="7C3AED"/>
          <w:sz w:val="16"/>
          <w:szCs w:val="16"/>
        </w:rPr>
        <w:t xml:space="preserve">05   </w:t>
      </w:r>
      <w:r>
        <w:rPr>
          <w:rFonts w:ascii="Calibri" w:cs="Calibri" w:eastAsia="Calibri" w:hAnsi="Calibri"/>
          <w:b/>
          <w:bCs/>
          <w:color w:val="0D0E1A"/>
          <w:sz w:val="20"/>
          <w:szCs w:val="20"/>
        </w:rPr>
        <w:t xml:space="preserve">Milestone gates  </w:t>
      </w:r>
      <w:r>
        <w:rPr>
          <w:rFonts w:ascii="Calibri" w:cs="Calibri" w:eastAsia="Calibri" w:hAnsi="Calibri"/>
          <w:color w:val="33354A"/>
          <w:sz w:val="20"/>
          <w:szCs w:val="20"/>
        </w:rPr>
        <w:t xml:space="preserve">Gate milestones (M4-M6) require the associated deliverables to be accepted and the relevant tests in Section 13 to have passed.</w:t>
      </w:r>
    </w:p>
    <w:p>
      <w:pPr>
        <w:pStyle w:val="Heading2"/>
        <w:spacing w:after="90" w:before="220"/>
      </w:pPr>
      <w:r>
        <w:rPr>
          <w:rFonts w:ascii="Calibri" w:cs="Calibri" w:eastAsia="Calibri" w:hAnsi="Calibri"/>
          <w:b/>
          <w:bCs/>
          <w:color w:val="0D0E1A"/>
          <w:sz w:val="21"/>
          <w:szCs w:val="21"/>
        </w:rPr>
        <w:t xml:space="preserve">Defect severity &amp; correction targets</w:t>
      </w:r>
    </w:p>
    <w:tbl>
      <w:tblPr>
        <w:tblW w:type="dxa" w:w="9026"/>
        <w:tblBorders>
          <w:top w:val="single" w:color="D9DCEA" w:sz="4"/>
          <w:left w:val="none"/>
          <w:bottom w:val="single" w:color="D9DCEA" w:sz="4"/>
          <w:right w:val="none"/>
          <w:insideH w:val="single" w:color="D9DCEA" w:sz="4"/>
          <w:insideV w:val="none"/>
        </w:tblBorders>
      </w:tblPr>
      <w:tblGrid>
        <w:gridCol w:w="1900"/>
        <w:gridCol w:w="5300"/>
        <w:gridCol w:w="1826"/>
      </w:tblGrid>
      <w:tr>
        <w:trPr>
          <w:tblHeader/>
        </w:trPr>
        <w:tc>
          <w:tcPr>
            <w:tcW w:type="dxa" w:w="19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Severity</w:t>
            </w:r>
          </w:p>
        </w:tc>
        <w:tc>
          <w:tcPr>
            <w:tcW w:type="dxa" w:w="53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Description</w:t>
            </w:r>
          </w:p>
        </w:tc>
        <w:tc>
          <w:tcPr>
            <w:tcW w:type="dxa" w:w="18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Correction target</w:t>
            </w:r>
          </w:p>
        </w:tc>
      </w:tr>
      <w:tr>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S1 · Critical</w:t>
            </w:r>
          </w:p>
        </w:tc>
        <w:tc>
          <w:tcPr>
            <w:tcW w:type="dxa" w:w="53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Capture, grading or data integrity is unusable, with no workaround.</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33354A"/>
                <w:sz w:val="16"/>
                <w:szCs w:val="16"/>
              </w:rPr>
              <w:t xml:space="preserve">Same Business Day</w:t>
            </w:r>
          </w:p>
        </w:tc>
      </w:tr>
      <w:tr>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S2 · Major</w:t>
            </w:r>
          </w:p>
        </w:tc>
        <w:tc>
          <w:tcPr>
            <w:tcW w:type="dxa" w:w="53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A key function fails or a workaround is costly.</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33354A"/>
                <w:sz w:val="16"/>
                <w:szCs w:val="16"/>
              </w:rPr>
              <w:t xml:space="preserve">2 Business Days</w:t>
            </w:r>
          </w:p>
        </w:tc>
      </w:tr>
      <w:tr>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S3 · Minor</w:t>
            </w:r>
          </w:p>
        </w:tc>
        <w:tc>
          <w:tcPr>
            <w:tcW w:type="dxa" w:w="53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A non-critical issue with an easy workaround.</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33354A"/>
                <w:sz w:val="16"/>
                <w:szCs w:val="16"/>
              </w:rPr>
              <w:t xml:space="preserve">Next release</w:t>
            </w:r>
          </w:p>
        </w:tc>
      </w:tr>
      <w:tr>
        <w:tc>
          <w:tcPr>
            <w:tcW w:type="dxa" w:w="1900"/>
            <w:tcMar>
              <w:top w:type="dxa" w:w="70"/>
              <w:left w:type="dxa" w:w="110"/>
              <w:bottom w:type="dxa" w:w="70"/>
              <w:right w:type="dxa" w:w="110"/>
            </w:tcMar>
            <w:vAlign w:val="top"/>
          </w:tcPr>
          <w:p>
            <w:r>
              <w:rPr>
                <w:rFonts w:ascii="Calibri" w:cs="Calibri" w:eastAsia="Calibri" w:hAnsi="Calibri"/>
                <w:b/>
                <w:bCs/>
                <w:color w:val="0D0E1A"/>
                <w:sz w:val="18"/>
                <w:szCs w:val="18"/>
              </w:rPr>
              <w:t xml:space="preserve">S4 · Cosmetic</w:t>
            </w:r>
          </w:p>
        </w:tc>
        <w:tc>
          <w:tcPr>
            <w:tcW w:type="dxa" w:w="53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Visual or textual polish; no functional impact.</w:t>
            </w:r>
          </w:p>
        </w:tc>
        <w:tc>
          <w:tcPr>
            <w:tcW w:type="dxa" w:w="1826"/>
            <w:tcMar>
              <w:top w:type="dxa" w:w="70"/>
              <w:left w:type="dxa" w:w="110"/>
              <w:bottom w:type="dxa" w:w="70"/>
              <w:right w:type="dxa" w:w="110"/>
            </w:tcMar>
            <w:vAlign w:val="top"/>
          </w:tcPr>
          <w:p>
            <w:r>
              <w:rPr>
                <w:rFonts w:ascii="Consolas" w:cs="Consolas" w:eastAsia="Consolas" w:hAnsi="Consolas"/>
                <w:b w:val="false"/>
                <w:bCs w:val="false"/>
                <w:color w:val="33354A"/>
                <w:sz w:val="16"/>
                <w:szCs w:val="16"/>
              </w:rPr>
              <w:t xml:space="preserve">As scheduled</w:t>
            </w:r>
          </w:p>
        </w:tc>
      </w:tr>
    </w:tbl>
    <w:p>
      <w:pPr>
        <w:spacing w:after="40" w:before="60"/>
      </w:pPr>
      <w:r>
        <w:rPr>
          <w:rFonts w:ascii="Consolas" w:cs="Consolas" w:eastAsia="Consolas" w:hAnsi="Consolas"/>
          <w:b/>
          <w:bCs/>
          <w:color w:val="0E9AAC"/>
          <w:spacing w:val="60"/>
          <w:sz w:val="15"/>
          <w:szCs w:val="15"/>
        </w:rPr>
        <w:t xml:space="preserve">FOUR-WEEK TEST PHASE</w:t>
      </w:r>
    </w:p>
    <w:p>
      <w:pPr>
        <w:pStyle w:val="Heading1"/>
        <w:spacing w:after="120" w:before="60"/>
      </w:pPr>
      <w:r>
        <w:rPr>
          <w:rFonts w:ascii="Consolas" w:cs="Consolas" w:eastAsia="Consolas" w:hAnsi="Consolas"/>
          <w:b/>
          <w:bCs/>
          <w:color w:val="7C3AED"/>
          <w:sz w:val="26"/>
          <w:szCs w:val="26"/>
        </w:rPr>
        <w:t xml:space="preserve">13  </w:t>
      </w:r>
      <w:r>
        <w:rPr>
          <w:rFonts w:ascii="Calibri" w:cs="Calibri" w:eastAsia="Calibri" w:hAnsi="Calibri"/>
          <w:b/>
          <w:bCs/>
          <w:color w:val="0D0E1A"/>
          <w:sz w:val="30"/>
          <w:szCs w:val="30"/>
        </w:rPr>
        <w:t xml:space="preserve">Testing &amp; quality assurance</w:t>
      </w:r>
    </w:p>
    <w:p>
      <w:pPr>
        <w:spacing w:after="140"/>
      </w:pPr>
      <w:r>
        <w:rPr>
          <w:rFonts w:ascii="Calibri" w:cs="Calibri" w:eastAsia="Calibri" w:hAnsi="Calibri"/>
          <w:color w:val="33354A"/>
          <w:sz w:val="21"/>
          <w:szCs w:val="21"/>
        </w:rPr>
        <w:t xml:space="preserve">Testing is a resourced, gated phase — not a hope. Each gate below must pass before the associated milestone is accepted.</w:t>
      </w:r>
    </w:p>
    <w:p>
      <w:pPr>
        <w:pStyle w:val="Heading2"/>
        <w:spacing w:after="90" w:before="220"/>
      </w:pPr>
      <w:r>
        <w:rPr>
          <w:rFonts w:ascii="Calibri" w:cs="Calibri" w:eastAsia="Calibri" w:hAnsi="Calibri"/>
          <w:b/>
          <w:bCs/>
          <w:color w:val="0D0E1A"/>
          <w:sz w:val="21"/>
          <w:szCs w:val="21"/>
        </w:rPr>
        <w:t xml:space="preserve">Acceptance gates — quantified thresholds</w:t>
      </w:r>
    </w:p>
    <w:p>
      <w:pPr>
        <w:pStyle w:val="ListParagraph"/>
        <w:numPr>
          <w:ilvl w:val="0"/>
          <w:numId w:val="1"/>
        </w:numPr>
        <w:spacing w:after="50"/>
      </w:pPr>
      <w:r>
        <w:rPr>
          <w:rFonts w:ascii="Calibri" w:cs="Calibri" w:eastAsia="Calibri" w:hAnsi="Calibri"/>
          <w:color w:val="33354A"/>
          <w:sz w:val="20"/>
          <w:szCs w:val="20"/>
        </w:rPr>
        <w:t xml:space="preserve">Detection recall &gt;= 0.90 and precision &gt;= 0.85 on the top ten defect classes, measured on the holdout set</w:t>
      </w:r>
    </w:p>
    <w:p>
      <w:pPr>
        <w:pStyle w:val="ListParagraph"/>
        <w:numPr>
          <w:ilvl w:val="0"/>
          <w:numId w:val="1"/>
        </w:numPr>
        <w:spacing w:after="50"/>
      </w:pPr>
      <w:r>
        <w:rPr>
          <w:rFonts w:ascii="Calibri" w:cs="Calibri" w:eastAsia="Calibri" w:hAnsi="Calibri"/>
          <w:color w:val="33354A"/>
          <w:sz w:val="20"/>
          <w:szCs w:val="20"/>
        </w:rPr>
        <w:t xml:space="preserve">API p95 &lt; 300 ms at 3x expected peak throughput</w:t>
      </w:r>
    </w:p>
    <w:p>
      <w:pPr>
        <w:pStyle w:val="ListParagraph"/>
        <w:numPr>
          <w:ilvl w:val="0"/>
          <w:numId w:val="1"/>
        </w:numPr>
        <w:spacing w:after="50"/>
      </w:pPr>
      <w:r>
        <w:rPr>
          <w:rFonts w:ascii="Calibri" w:cs="Calibri" w:eastAsia="Calibri" w:hAnsi="Calibri"/>
          <w:color w:val="33354A"/>
          <w:sz w:val="20"/>
          <w:szCs w:val="20"/>
        </w:rPr>
        <w:t xml:space="preserve">Zero open S1/S2 defects; regression suite green on three consecutive runs</w:t>
      </w:r>
    </w:p>
    <w:p>
      <w:pPr>
        <w:pStyle w:val="ListParagraph"/>
        <w:numPr>
          <w:ilvl w:val="0"/>
          <w:numId w:val="1"/>
        </w:numPr>
        <w:spacing w:after="50"/>
      </w:pPr>
      <w:r>
        <w:rPr>
          <w:rFonts w:ascii="Calibri" w:cs="Calibri" w:eastAsia="Calibri" w:hAnsi="Calibri"/>
          <w:color w:val="33354A"/>
          <w:sz w:val="20"/>
          <w:szCs w:val="20"/>
        </w:rPr>
        <w:t xml:space="preserve">No critical or high security findings open</w:t>
      </w:r>
    </w:p>
    <w:p>
      <w:pPr>
        <w:pStyle w:val="ListParagraph"/>
        <w:numPr>
          <w:ilvl w:val="0"/>
          <w:numId w:val="1"/>
        </w:numPr>
        <w:spacing w:after="50"/>
      </w:pPr>
      <w:r>
        <w:rPr>
          <w:rFonts w:ascii="Calibri" w:cs="Calibri" w:eastAsia="Calibri" w:hAnsi="Calibri"/>
          <w:color w:val="33354A"/>
          <w:sz w:val="20"/>
          <w:szCs w:val="20"/>
        </w:rPr>
        <w:t xml:space="preserve">WCAG 2.2 AA audit passed on operator and supervisor journeys</w:t>
      </w:r>
    </w:p>
    <w:p>
      <w:pPr>
        <w:pStyle w:val="Heading2"/>
        <w:spacing w:after="90" w:before="220"/>
      </w:pPr>
      <w:r>
        <w:rPr>
          <w:rFonts w:ascii="Calibri" w:cs="Calibri" w:eastAsia="Calibri" w:hAnsi="Calibri"/>
          <w:b/>
          <w:bCs/>
          <w:color w:val="0D0E1A"/>
          <w:sz w:val="21"/>
          <w:szCs w:val="21"/>
        </w:rPr>
        <w:t xml:space="preserve">Evidence provided</w:t>
      </w:r>
    </w:p>
    <w:p>
      <w:pPr>
        <w:pStyle w:val="ListParagraph"/>
        <w:numPr>
          <w:ilvl w:val="0"/>
          <w:numId w:val="1"/>
        </w:numPr>
        <w:spacing w:after="50"/>
      </w:pPr>
      <w:r>
        <w:rPr>
          <w:rFonts w:ascii="Calibri" w:cs="Calibri" w:eastAsia="Calibri" w:hAnsi="Calibri"/>
          <w:color w:val="33354A"/>
          <w:sz w:val="20"/>
          <w:szCs w:val="20"/>
        </w:rPr>
        <w:t xml:space="preserve">Per-class model scorecard against the holdout set</w:t>
      </w:r>
    </w:p>
    <w:p>
      <w:pPr>
        <w:pStyle w:val="ListParagraph"/>
        <w:numPr>
          <w:ilvl w:val="0"/>
          <w:numId w:val="1"/>
        </w:numPr>
        <w:spacing w:after="50"/>
      </w:pPr>
      <w:r>
        <w:rPr>
          <w:rFonts w:ascii="Calibri" w:cs="Calibri" w:eastAsia="Calibri" w:hAnsi="Calibri"/>
          <w:color w:val="33354A"/>
          <w:sz w:val="20"/>
          <w:szCs w:val="20"/>
        </w:rPr>
        <w:t xml:space="preserve">Grade-agreement study — platform grade vs expert human grade</w:t>
      </w:r>
    </w:p>
    <w:p>
      <w:pPr>
        <w:pStyle w:val="ListParagraph"/>
        <w:numPr>
          <w:ilvl w:val="0"/>
          <w:numId w:val="1"/>
        </w:numPr>
        <w:spacing w:after="50"/>
      </w:pPr>
      <w:r>
        <w:rPr>
          <w:rFonts w:ascii="Calibri" w:cs="Calibri" w:eastAsia="Calibri" w:hAnsi="Calibri"/>
          <w:color w:val="33354A"/>
          <w:sz w:val="20"/>
          <w:szCs w:val="20"/>
        </w:rPr>
        <w:t xml:space="preserve">Load and soak test reports</w:t>
      </w:r>
    </w:p>
    <w:p>
      <w:pPr>
        <w:pStyle w:val="ListParagraph"/>
        <w:numPr>
          <w:ilvl w:val="0"/>
          <w:numId w:val="1"/>
        </w:numPr>
        <w:spacing w:after="50"/>
      </w:pPr>
      <w:r>
        <w:rPr>
          <w:rFonts w:ascii="Calibri" w:cs="Calibri" w:eastAsia="Calibri" w:hAnsi="Calibri"/>
          <w:color w:val="33354A"/>
          <w:sz w:val="20"/>
          <w:szCs w:val="20"/>
        </w:rPr>
        <w:t xml:space="preserve">Penetration test report and remediation log</w:t>
      </w:r>
    </w:p>
    <w:p>
      <w:pPr>
        <w:pStyle w:val="ListParagraph"/>
        <w:numPr>
          <w:ilvl w:val="0"/>
          <w:numId w:val="1"/>
        </w:numPr>
        <w:spacing w:after="50"/>
      </w:pPr>
      <w:r>
        <w:rPr>
          <w:rFonts w:ascii="Calibri" w:cs="Calibri" w:eastAsia="Calibri" w:hAnsi="Calibri"/>
          <w:color w:val="33354A"/>
          <w:sz w:val="20"/>
          <w:szCs w:val="20"/>
        </w:rPr>
        <w:t xml:space="preserve">UAT results with a fix-or-defer decision on every item</w:t>
      </w:r>
    </w:p>
    <w:p>
      <w:pPr>
        <w:spacing w:after="40" w:before="60"/>
      </w:pPr>
      <w:r>
        <w:rPr>
          <w:rFonts w:ascii="Consolas" w:cs="Consolas" w:eastAsia="Consolas" w:hAnsi="Consolas"/>
          <w:b/>
          <w:bCs/>
          <w:color w:val="0E9AAC"/>
          <w:spacing w:val="60"/>
          <w:sz w:val="15"/>
          <w:szCs w:val="15"/>
        </w:rPr>
        <w:t xml:space="preserve">MANAGING SCOPE</w:t>
      </w:r>
    </w:p>
    <w:p>
      <w:pPr>
        <w:pStyle w:val="Heading1"/>
        <w:spacing w:after="120" w:before="60"/>
      </w:pPr>
      <w:r>
        <w:rPr>
          <w:rFonts w:ascii="Consolas" w:cs="Consolas" w:eastAsia="Consolas" w:hAnsi="Consolas"/>
          <w:b/>
          <w:bCs/>
          <w:color w:val="7C3AED"/>
          <w:sz w:val="26"/>
          <w:szCs w:val="26"/>
        </w:rPr>
        <w:t xml:space="preserve">14  </w:t>
      </w:r>
      <w:r>
        <w:rPr>
          <w:rFonts w:ascii="Calibri" w:cs="Calibri" w:eastAsia="Calibri" w:hAnsi="Calibri"/>
          <w:b/>
          <w:bCs/>
          <w:color w:val="0D0E1A"/>
          <w:sz w:val="30"/>
          <w:szCs w:val="30"/>
        </w:rPr>
        <w:t xml:space="preserve">Change control</w:t>
      </w:r>
    </w:p>
    <w:p>
      <w:pPr>
        <w:spacing w:after="140"/>
      </w:pPr>
      <w:r>
        <w:rPr>
          <w:rFonts w:ascii="Calibri" w:cs="Calibri" w:eastAsia="Calibri" w:hAnsi="Calibri"/>
          <w:color w:val="33354A"/>
          <w:sz w:val="21"/>
          <w:szCs w:val="21"/>
        </w:rPr>
        <w:t xml:space="preserve">The deliverables in Sections 05-06 are the agreed scope. Any change to them follows this process; nothing outside it alters price or timeline.</w:t>
      </w:r>
    </w:p>
    <w:p>
      <w:pPr>
        <w:spacing w:after="110"/>
      </w:pPr>
      <w:r>
        <w:rPr>
          <w:rFonts w:ascii="Consolas" w:cs="Consolas" w:eastAsia="Consolas" w:hAnsi="Consolas"/>
          <w:b/>
          <w:bCs/>
          <w:color w:val="7C3AED"/>
          <w:sz w:val="16"/>
          <w:szCs w:val="16"/>
        </w:rPr>
        <w:t xml:space="preserve">01   </w:t>
      </w:r>
      <w:r>
        <w:rPr>
          <w:rFonts w:ascii="Calibri" w:cs="Calibri" w:eastAsia="Calibri" w:hAnsi="Calibri"/>
          <w:b/>
          <w:bCs/>
          <w:color w:val="0D0E1A"/>
          <w:sz w:val="20"/>
          <w:szCs w:val="20"/>
        </w:rPr>
        <w:t xml:space="preserve">Raising a change  </w:t>
      </w:r>
      <w:r>
        <w:rPr>
          <w:rFonts w:ascii="Calibri" w:cs="Calibri" w:eastAsia="Calibri" w:hAnsi="Calibri"/>
          <w:color w:val="33354A"/>
          <w:sz w:val="20"/>
          <w:szCs w:val="20"/>
        </w:rPr>
        <w:t xml:space="preserve">Either party may raise a change request in writing, describing the change and its reason.</w:t>
      </w:r>
    </w:p>
    <w:p>
      <w:pPr>
        <w:spacing w:after="110"/>
      </w:pPr>
      <w:r>
        <w:rPr>
          <w:rFonts w:ascii="Consolas" w:cs="Consolas" w:eastAsia="Consolas" w:hAnsi="Consolas"/>
          <w:b/>
          <w:bCs/>
          <w:color w:val="7C3AED"/>
          <w:sz w:val="16"/>
          <w:szCs w:val="16"/>
        </w:rPr>
        <w:t xml:space="preserve">02   </w:t>
      </w:r>
      <w:r>
        <w:rPr>
          <w:rFonts w:ascii="Calibri" w:cs="Calibri" w:eastAsia="Calibri" w:hAnsi="Calibri"/>
          <w:b/>
          <w:bCs/>
          <w:color w:val="0D0E1A"/>
          <w:sz w:val="20"/>
          <w:szCs w:val="20"/>
        </w:rPr>
        <w:t xml:space="preserve">Impact assessment  </w:t>
      </w:r>
      <w:r>
        <w:rPr>
          <w:rFonts w:ascii="Calibri" w:cs="Calibri" w:eastAsia="Calibri" w:hAnsi="Calibri"/>
          <w:color w:val="33354A"/>
          <w:sz w:val="20"/>
          <w:szCs w:val="20"/>
        </w:rPr>
        <w:t xml:space="preserve">Pixorama assesses the impact on scope, timeline and price and issues a change note, normally within three Business Days.</w:t>
      </w:r>
    </w:p>
    <w:p>
      <w:pPr>
        <w:spacing w:after="110"/>
      </w:pPr>
      <w:r>
        <w:rPr>
          <w:rFonts w:ascii="Consolas" w:cs="Consolas" w:eastAsia="Consolas" w:hAnsi="Consolas"/>
          <w:b/>
          <w:bCs/>
          <w:color w:val="7C3AED"/>
          <w:sz w:val="16"/>
          <w:szCs w:val="16"/>
        </w:rPr>
        <w:t xml:space="preserve">03   </w:t>
      </w:r>
      <w:r>
        <w:rPr>
          <w:rFonts w:ascii="Calibri" w:cs="Calibri" w:eastAsia="Calibri" w:hAnsi="Calibri"/>
          <w:b/>
          <w:bCs/>
          <w:color w:val="0D0E1A"/>
          <w:sz w:val="20"/>
          <w:szCs w:val="20"/>
        </w:rPr>
        <w:t xml:space="preserve">Approval  </w:t>
      </w:r>
      <w:r>
        <w:rPr>
          <w:rFonts w:ascii="Calibri" w:cs="Calibri" w:eastAsia="Calibri" w:hAnsi="Calibri"/>
          <w:color w:val="33354A"/>
          <w:sz w:val="20"/>
          <w:szCs w:val="20"/>
        </w:rPr>
        <w:t xml:space="preserve">Work on a change begins only once the Client approves the change note in writing. Approved changes are appended to this Statement of Work.</w:t>
      </w:r>
    </w:p>
    <w:p>
      <w:pPr>
        <w:spacing w:after="110"/>
      </w:pPr>
      <w:r>
        <w:rPr>
          <w:rFonts w:ascii="Consolas" w:cs="Consolas" w:eastAsia="Consolas" w:hAnsi="Consolas"/>
          <w:b/>
          <w:bCs/>
          <w:color w:val="7C3AED"/>
          <w:sz w:val="16"/>
          <w:szCs w:val="16"/>
        </w:rPr>
        <w:t xml:space="preserve">04   </w:t>
      </w:r>
      <w:r>
        <w:rPr>
          <w:rFonts w:ascii="Calibri" w:cs="Calibri" w:eastAsia="Calibri" w:hAnsi="Calibri"/>
          <w:b/>
          <w:bCs/>
          <w:color w:val="0D0E1A"/>
          <w:sz w:val="20"/>
          <w:szCs w:val="20"/>
        </w:rPr>
        <w:t xml:space="preserve">Swaps  </w:t>
      </w:r>
      <w:r>
        <w:rPr>
          <w:rFonts w:ascii="Calibri" w:cs="Calibri" w:eastAsia="Calibri" w:hAnsi="Calibri"/>
          <w:color w:val="33354A"/>
          <w:sz w:val="20"/>
          <w:szCs w:val="20"/>
        </w:rPr>
        <w:t xml:space="preserve">By agreement, a new item of equivalent size may be exchanged for an unstarted deliverable at no change to price or timeline.</w:t>
      </w:r>
    </w:p>
    <w:p>
      <w:pPr>
        <w:spacing w:after="110"/>
      </w:pPr>
      <w:r>
        <w:rPr>
          <w:rFonts w:ascii="Consolas" w:cs="Consolas" w:eastAsia="Consolas" w:hAnsi="Consolas"/>
          <w:b/>
          <w:bCs/>
          <w:color w:val="7C3AED"/>
          <w:sz w:val="16"/>
          <w:szCs w:val="16"/>
        </w:rPr>
        <w:t xml:space="preserve">05   </w:t>
      </w:r>
      <w:r>
        <w:rPr>
          <w:rFonts w:ascii="Calibri" w:cs="Calibri" w:eastAsia="Calibri" w:hAnsi="Calibri"/>
          <w:b/>
          <w:bCs/>
          <w:color w:val="0D0E1A"/>
          <w:sz w:val="20"/>
          <w:szCs w:val="20"/>
        </w:rPr>
        <w:t xml:space="preserve">Standing changes  </w:t>
      </w:r>
      <w:r>
        <w:rPr>
          <w:rFonts w:ascii="Calibri" w:cs="Calibri" w:eastAsia="Calibri" w:hAnsi="Calibri"/>
          <w:color w:val="33354A"/>
          <w:sz w:val="20"/>
          <w:szCs w:val="20"/>
        </w:rPr>
        <w:t xml:space="preserve">Rules, taxonomy, grade profiles and branding are configurable and are changed by the Client without a release — these are not change requests.</w:t>
      </w:r>
    </w:p>
    <w:p>
      <w:r>
        <w:br w:type="page"/>
      </w:r>
    </w:p>
    <w:p>
      <w:pPr>
        <w:spacing w:after="40" w:before="60"/>
      </w:pPr>
      <w:r>
        <w:rPr>
          <w:rFonts w:ascii="Consolas" w:cs="Consolas" w:eastAsia="Consolas" w:hAnsi="Consolas"/>
          <w:b/>
          <w:bCs/>
          <w:color w:val="0E9AAC"/>
          <w:spacing w:val="60"/>
          <w:sz w:val="15"/>
          <w:szCs w:val="15"/>
        </w:rPr>
        <w:t xml:space="preserve">FEES &amp; PAYMENT</w:t>
      </w:r>
    </w:p>
    <w:p>
      <w:pPr>
        <w:pStyle w:val="Heading1"/>
        <w:spacing w:after="120" w:before="60"/>
      </w:pPr>
      <w:r>
        <w:rPr>
          <w:rFonts w:ascii="Consolas" w:cs="Consolas" w:eastAsia="Consolas" w:hAnsi="Consolas"/>
          <w:b/>
          <w:bCs/>
          <w:color w:val="7C3AED"/>
          <w:sz w:val="26"/>
          <w:szCs w:val="26"/>
        </w:rPr>
        <w:t xml:space="preserve">15  </w:t>
      </w:r>
      <w:r>
        <w:rPr>
          <w:rFonts w:ascii="Calibri" w:cs="Calibri" w:eastAsia="Calibri" w:hAnsi="Calibri"/>
          <w:b/>
          <w:bCs/>
          <w:color w:val="0D0E1A"/>
          <w:sz w:val="30"/>
          <w:szCs w:val="30"/>
        </w:rPr>
        <w:t xml:space="preserve">Commercials &amp; payment schedule</w:t>
      </w:r>
    </w:p>
    <w:p>
      <w:pPr>
        <w:spacing w:after="140"/>
      </w:pPr>
      <w:r>
        <w:rPr>
          <w:rFonts w:ascii="Calibri" w:cs="Calibri" w:eastAsia="Calibri" w:hAnsi="Calibri"/>
          <w:color w:val="33354A"/>
          <w:sz w:val="21"/>
          <w:szCs w:val="21"/>
        </w:rPr>
        <w:t xml:space="preserve">The engagement is delivered for a fixed fee against the fixed scope in this document. Payment is linked to milestone acceptance. Figures are completed on execution.</w:t>
      </w:r>
    </w:p>
    <w:tbl>
      <w:tblPr>
        <w:tblW w:type="dxa" w:w="9026"/>
        <w:tblBorders>
          <w:top w:val="single" w:color="D9DCEA" w:sz="4"/>
          <w:left w:val="none"/>
          <w:bottom w:val="single" w:color="D9DCEA" w:sz="4"/>
          <w:right w:val="none"/>
          <w:insideH w:val="single" w:color="D9DCEA" w:sz="4"/>
          <w:insideV w:val="none"/>
        </w:tblBorders>
      </w:tblPr>
      <w:tblGrid>
        <w:gridCol w:w="2000"/>
        <w:gridCol w:w="3600"/>
        <w:gridCol w:w="1400"/>
        <w:gridCol w:w="2026"/>
      </w:tblGrid>
      <w:tr>
        <w:trPr>
          <w:tblHeader/>
        </w:trPr>
        <w:tc>
          <w:tcPr>
            <w:tcW w:type="dxa" w:w="20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Trigger</w:t>
            </w:r>
          </w:p>
        </w:tc>
        <w:tc>
          <w:tcPr>
            <w:tcW w:type="dxa" w:w="36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Milestone</w:t>
            </w:r>
          </w:p>
        </w:tc>
        <w:tc>
          <w:tcPr>
            <w:tcW w:type="dxa" w:w="1400"/>
            <w:shd w:fill="F4F5FA" w:color="auto" w:val="clear"/>
            <w:tcMar>
              <w:top w:type="dxa" w:w="70"/>
              <w:left w:type="dxa" w:w="110"/>
              <w:bottom w:type="dxa" w:w="70"/>
              <w:right w:type="dxa" w:w="110"/>
            </w:tcMar>
            <w:vAlign w:val="top"/>
          </w:tcPr>
          <w:p>
            <w:pPr>
              <w:jc w:val="right"/>
            </w:pPr>
            <w:r>
              <w:rPr>
                <w:rFonts w:ascii="Consolas" w:cs="Consolas" w:eastAsia="Consolas" w:hAnsi="Consolas"/>
                <w:b/>
                <w:bCs/>
                <w:color w:val="6A6C83"/>
                <w:sz w:val="15"/>
                <w:szCs w:val="15"/>
              </w:rPr>
              <w:t xml:space="preserve">Share</w:t>
            </w:r>
          </w:p>
        </w:tc>
        <w:tc>
          <w:tcPr>
            <w:tcW w:type="dxa" w:w="2026"/>
            <w:shd w:fill="F4F5FA" w:color="auto" w:val="clear"/>
            <w:tcMar>
              <w:top w:type="dxa" w:w="70"/>
              <w:left w:type="dxa" w:w="110"/>
              <w:bottom w:type="dxa" w:w="70"/>
              <w:right w:type="dxa" w:w="110"/>
            </w:tcMar>
            <w:vAlign w:val="top"/>
          </w:tcPr>
          <w:p>
            <w:pPr>
              <w:jc w:val="right"/>
            </w:pPr>
            <w:r>
              <w:rPr>
                <w:rFonts w:ascii="Consolas" w:cs="Consolas" w:eastAsia="Consolas" w:hAnsi="Consolas"/>
                <w:b/>
                <w:bCs/>
                <w:color w:val="6A6C83"/>
                <w:sz w:val="15"/>
                <w:szCs w:val="15"/>
              </w:rPr>
              <w:t xml:space="preserve">Amount</w:t>
            </w:r>
          </w:p>
        </w:tc>
      </w:tr>
      <w:tr>
        <w:tc>
          <w:tcPr>
            <w:tcW w:type="dxa" w:w="2000"/>
            <w:tcMar>
              <w:top w:type="dxa" w:w="70"/>
              <w:left w:type="dxa" w:w="110"/>
              <w:bottom w:type="dxa" w:w="70"/>
              <w:right w:type="dxa" w:w="110"/>
            </w:tcMar>
            <w:vAlign w:val="top"/>
          </w:tcPr>
          <w:p>
            <w:r>
              <w:rPr>
                <w:rFonts w:ascii="Calibri" w:cs="Calibri" w:eastAsia="Calibri" w:hAnsi="Calibri"/>
                <w:b/>
                <w:bCs/>
                <w:color w:val="0D0E1A"/>
                <w:sz w:val="18"/>
                <w:szCs w:val="18"/>
              </w:rPr>
              <w:t xml:space="preserve">Mobilisation</w:t>
            </w:r>
          </w:p>
        </w:tc>
        <w:tc>
          <w:tcPr>
            <w:tcW w:type="dxa" w:w="36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On signature of this SOW</w:t>
            </w:r>
          </w:p>
        </w:tc>
        <w:tc>
          <w:tcPr>
            <w:tcW w:type="dxa" w:w="1400"/>
            <w:tcMar>
              <w:top w:type="dxa" w:w="70"/>
              <w:left w:type="dxa" w:w="110"/>
              <w:bottom w:type="dxa" w:w="70"/>
              <w:right w:type="dxa" w:w="110"/>
            </w:tcMar>
            <w:vAlign w:val="top"/>
          </w:tcPr>
          <w:p>
            <w:pPr>
              <w:jc w:val="right"/>
            </w:pPr>
            <w:r>
              <w:rPr>
                <w:rFonts w:ascii="Consolas" w:cs="Consolas" w:eastAsia="Consolas" w:hAnsi="Consolas"/>
                <w:b/>
                <w:bCs/>
                <w:color w:val="7C3AED"/>
                <w:sz w:val="17"/>
                <w:szCs w:val="17"/>
              </w:rPr>
              <w:t xml:space="preserve">15%</w:t>
            </w:r>
          </w:p>
        </w:tc>
        <w:tc>
          <w:tcPr>
            <w:tcW w:type="dxa" w:w="2026"/>
            <w:tcMar>
              <w:top w:type="dxa" w:w="70"/>
              <w:left w:type="dxa" w:w="110"/>
              <w:bottom w:type="dxa" w:w="70"/>
              <w:right w:type="dxa" w:w="110"/>
            </w:tcMar>
            <w:vAlign w:val="top"/>
          </w:tcPr>
          <w:p>
            <w:pPr>
              <w:jc w:val="right"/>
            </w:pPr>
            <w:r>
              <w:rPr>
                <w:rFonts w:ascii="Consolas" w:cs="Consolas" w:eastAsia="Consolas" w:hAnsi="Consolas"/>
                <w:b w:val="false"/>
                <w:bCs w:val="false"/>
                <w:color w:val="6A6C83"/>
                <w:sz w:val="16"/>
                <w:szCs w:val="16"/>
              </w:rPr>
              <w:t xml:space="preserve">[            ]</w:t>
            </w:r>
          </w:p>
        </w:tc>
      </w:tr>
      <w:tr>
        <w:tc>
          <w:tcPr>
            <w:tcW w:type="dxa" w:w="2000"/>
            <w:tcMar>
              <w:top w:type="dxa" w:w="70"/>
              <w:left w:type="dxa" w:w="110"/>
              <w:bottom w:type="dxa" w:w="70"/>
              <w:right w:type="dxa" w:w="110"/>
            </w:tcMar>
            <w:vAlign w:val="top"/>
          </w:tcPr>
          <w:p>
            <w:r>
              <w:rPr>
                <w:rFonts w:ascii="Calibri" w:cs="Calibri" w:eastAsia="Calibri" w:hAnsi="Calibri"/>
                <w:b/>
                <w:bCs/>
                <w:color w:val="0D0E1A"/>
                <w:sz w:val="18"/>
                <w:szCs w:val="18"/>
              </w:rPr>
              <w:t xml:space="preserve">M2 · End W4</w:t>
            </w:r>
          </w:p>
        </w:tc>
        <w:tc>
          <w:tcPr>
            <w:tcW w:type="dxa" w:w="36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First device graded end to end</w:t>
            </w:r>
          </w:p>
        </w:tc>
        <w:tc>
          <w:tcPr>
            <w:tcW w:type="dxa" w:w="1400"/>
            <w:tcMar>
              <w:top w:type="dxa" w:w="70"/>
              <w:left w:type="dxa" w:w="110"/>
              <w:bottom w:type="dxa" w:w="70"/>
              <w:right w:type="dxa" w:w="110"/>
            </w:tcMar>
            <w:vAlign w:val="top"/>
          </w:tcPr>
          <w:p>
            <w:pPr>
              <w:jc w:val="right"/>
            </w:pPr>
            <w:r>
              <w:rPr>
                <w:rFonts w:ascii="Consolas" w:cs="Consolas" w:eastAsia="Consolas" w:hAnsi="Consolas"/>
                <w:b/>
                <w:bCs/>
                <w:color w:val="7C3AED"/>
                <w:sz w:val="17"/>
                <w:szCs w:val="17"/>
              </w:rPr>
              <w:t xml:space="preserve">15%</w:t>
            </w:r>
          </w:p>
        </w:tc>
        <w:tc>
          <w:tcPr>
            <w:tcW w:type="dxa" w:w="2026"/>
            <w:tcMar>
              <w:top w:type="dxa" w:w="70"/>
              <w:left w:type="dxa" w:w="110"/>
              <w:bottom w:type="dxa" w:w="70"/>
              <w:right w:type="dxa" w:w="110"/>
            </w:tcMar>
            <w:vAlign w:val="top"/>
          </w:tcPr>
          <w:p>
            <w:pPr>
              <w:jc w:val="right"/>
            </w:pPr>
            <w:r>
              <w:rPr>
                <w:rFonts w:ascii="Consolas" w:cs="Consolas" w:eastAsia="Consolas" w:hAnsi="Consolas"/>
                <w:b w:val="false"/>
                <w:bCs w:val="false"/>
                <w:color w:val="6A6C83"/>
                <w:sz w:val="16"/>
                <w:szCs w:val="16"/>
              </w:rPr>
              <w:t xml:space="preserve">[            ]</w:t>
            </w:r>
          </w:p>
        </w:tc>
      </w:tr>
      <w:tr>
        <w:tc>
          <w:tcPr>
            <w:tcW w:type="dxa" w:w="2000"/>
            <w:tcMar>
              <w:top w:type="dxa" w:w="70"/>
              <w:left w:type="dxa" w:w="110"/>
              <w:bottom w:type="dxa" w:w="70"/>
              <w:right w:type="dxa" w:w="110"/>
            </w:tcMar>
            <w:vAlign w:val="top"/>
          </w:tcPr>
          <w:p>
            <w:r>
              <w:rPr>
                <w:rFonts w:ascii="Calibri" w:cs="Calibri" w:eastAsia="Calibri" w:hAnsi="Calibri"/>
                <w:b/>
                <w:bCs/>
                <w:color w:val="0D0E1A"/>
                <w:sz w:val="18"/>
                <w:szCs w:val="18"/>
              </w:rPr>
              <w:t xml:space="preserve">M3 · End W6</w:t>
            </w:r>
          </w:p>
        </w:tc>
        <w:tc>
          <w:tcPr>
            <w:tcW w:type="dxa" w:w="36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Review &amp; grading accepted</w:t>
            </w:r>
          </w:p>
        </w:tc>
        <w:tc>
          <w:tcPr>
            <w:tcW w:type="dxa" w:w="1400"/>
            <w:tcMar>
              <w:top w:type="dxa" w:w="70"/>
              <w:left w:type="dxa" w:w="110"/>
              <w:bottom w:type="dxa" w:w="70"/>
              <w:right w:type="dxa" w:w="110"/>
            </w:tcMar>
            <w:vAlign w:val="top"/>
          </w:tcPr>
          <w:p>
            <w:pPr>
              <w:jc w:val="right"/>
            </w:pPr>
            <w:r>
              <w:rPr>
                <w:rFonts w:ascii="Consolas" w:cs="Consolas" w:eastAsia="Consolas" w:hAnsi="Consolas"/>
                <w:b/>
                <w:bCs/>
                <w:color w:val="7C3AED"/>
                <w:sz w:val="17"/>
                <w:szCs w:val="17"/>
              </w:rPr>
              <w:t xml:space="preserve">15%</w:t>
            </w:r>
          </w:p>
        </w:tc>
        <w:tc>
          <w:tcPr>
            <w:tcW w:type="dxa" w:w="2026"/>
            <w:tcMar>
              <w:top w:type="dxa" w:w="70"/>
              <w:left w:type="dxa" w:w="110"/>
              <w:bottom w:type="dxa" w:w="70"/>
              <w:right w:type="dxa" w:w="110"/>
            </w:tcMar>
            <w:vAlign w:val="top"/>
          </w:tcPr>
          <w:p>
            <w:pPr>
              <w:jc w:val="right"/>
            </w:pPr>
            <w:r>
              <w:rPr>
                <w:rFonts w:ascii="Consolas" w:cs="Consolas" w:eastAsia="Consolas" w:hAnsi="Consolas"/>
                <w:b w:val="false"/>
                <w:bCs w:val="false"/>
                <w:color w:val="6A6C83"/>
                <w:sz w:val="16"/>
                <w:szCs w:val="16"/>
              </w:rPr>
              <w:t xml:space="preserve">[            ]</w:t>
            </w:r>
          </w:p>
        </w:tc>
      </w:tr>
      <w:tr>
        <w:tc>
          <w:tcPr>
            <w:tcW w:type="dxa" w:w="2000"/>
            <w:tcMar>
              <w:top w:type="dxa" w:w="70"/>
              <w:left w:type="dxa" w:w="110"/>
              <w:bottom w:type="dxa" w:w="70"/>
              <w:right w:type="dxa" w:w="110"/>
            </w:tcMar>
            <w:vAlign w:val="top"/>
          </w:tcPr>
          <w:p>
            <w:r>
              <w:rPr>
                <w:rFonts w:ascii="Calibri" w:cs="Calibri" w:eastAsia="Calibri" w:hAnsi="Calibri"/>
                <w:b/>
                <w:bCs/>
                <w:color w:val="0D0E1A"/>
                <w:sz w:val="18"/>
                <w:szCs w:val="18"/>
              </w:rPr>
              <w:t xml:space="preserve">M4 · End W8</w:t>
            </w:r>
          </w:p>
        </w:tc>
        <w:tc>
          <w:tcPr>
            <w:tcW w:type="dxa" w:w="36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Feature complete · code freeze</w:t>
            </w:r>
          </w:p>
        </w:tc>
        <w:tc>
          <w:tcPr>
            <w:tcW w:type="dxa" w:w="1400"/>
            <w:tcMar>
              <w:top w:type="dxa" w:w="70"/>
              <w:left w:type="dxa" w:w="110"/>
              <w:bottom w:type="dxa" w:w="70"/>
              <w:right w:type="dxa" w:w="110"/>
            </w:tcMar>
            <w:vAlign w:val="top"/>
          </w:tcPr>
          <w:p>
            <w:pPr>
              <w:jc w:val="right"/>
            </w:pPr>
            <w:r>
              <w:rPr>
                <w:rFonts w:ascii="Consolas" w:cs="Consolas" w:eastAsia="Consolas" w:hAnsi="Consolas"/>
                <w:b/>
                <w:bCs/>
                <w:color w:val="7C3AED"/>
                <w:sz w:val="17"/>
                <w:szCs w:val="17"/>
              </w:rPr>
              <w:t xml:space="preserve">20%</w:t>
            </w:r>
          </w:p>
        </w:tc>
        <w:tc>
          <w:tcPr>
            <w:tcW w:type="dxa" w:w="2026"/>
            <w:tcMar>
              <w:top w:type="dxa" w:w="70"/>
              <w:left w:type="dxa" w:w="110"/>
              <w:bottom w:type="dxa" w:w="70"/>
              <w:right w:type="dxa" w:w="110"/>
            </w:tcMar>
            <w:vAlign w:val="top"/>
          </w:tcPr>
          <w:p>
            <w:pPr>
              <w:jc w:val="right"/>
            </w:pPr>
            <w:r>
              <w:rPr>
                <w:rFonts w:ascii="Consolas" w:cs="Consolas" w:eastAsia="Consolas" w:hAnsi="Consolas"/>
                <w:b w:val="false"/>
                <w:bCs w:val="false"/>
                <w:color w:val="6A6C83"/>
                <w:sz w:val="16"/>
                <w:szCs w:val="16"/>
              </w:rPr>
              <w:t xml:space="preserve">[            ]</w:t>
            </w:r>
          </w:p>
        </w:tc>
      </w:tr>
      <w:tr>
        <w:tc>
          <w:tcPr>
            <w:tcW w:type="dxa" w:w="2000"/>
            <w:tcMar>
              <w:top w:type="dxa" w:w="70"/>
              <w:left w:type="dxa" w:w="110"/>
              <w:bottom w:type="dxa" w:w="70"/>
              <w:right w:type="dxa" w:w="110"/>
            </w:tcMar>
            <w:vAlign w:val="top"/>
          </w:tcPr>
          <w:p>
            <w:r>
              <w:rPr>
                <w:rFonts w:ascii="Calibri" w:cs="Calibri" w:eastAsia="Calibri" w:hAnsi="Calibri"/>
                <w:b/>
                <w:bCs/>
                <w:color w:val="0D0E1A"/>
                <w:sz w:val="18"/>
                <w:szCs w:val="18"/>
              </w:rPr>
              <w:t xml:space="preserve">M5 · End W10</w:t>
            </w:r>
          </w:p>
        </w:tc>
        <w:tc>
          <w:tcPr>
            <w:tcW w:type="dxa" w:w="36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UAT &amp; accuracy signed off</w:t>
            </w:r>
          </w:p>
        </w:tc>
        <w:tc>
          <w:tcPr>
            <w:tcW w:type="dxa" w:w="1400"/>
            <w:tcMar>
              <w:top w:type="dxa" w:w="70"/>
              <w:left w:type="dxa" w:w="110"/>
              <w:bottom w:type="dxa" w:w="70"/>
              <w:right w:type="dxa" w:w="110"/>
            </w:tcMar>
            <w:vAlign w:val="top"/>
          </w:tcPr>
          <w:p>
            <w:pPr>
              <w:jc w:val="right"/>
            </w:pPr>
            <w:r>
              <w:rPr>
                <w:rFonts w:ascii="Consolas" w:cs="Consolas" w:eastAsia="Consolas" w:hAnsi="Consolas"/>
                <w:b/>
                <w:bCs/>
                <w:color w:val="7C3AED"/>
                <w:sz w:val="17"/>
                <w:szCs w:val="17"/>
              </w:rPr>
              <w:t xml:space="preserve">15%</w:t>
            </w:r>
          </w:p>
        </w:tc>
        <w:tc>
          <w:tcPr>
            <w:tcW w:type="dxa" w:w="2026"/>
            <w:tcMar>
              <w:top w:type="dxa" w:w="70"/>
              <w:left w:type="dxa" w:w="110"/>
              <w:bottom w:type="dxa" w:w="70"/>
              <w:right w:type="dxa" w:w="110"/>
            </w:tcMar>
            <w:vAlign w:val="top"/>
          </w:tcPr>
          <w:p>
            <w:pPr>
              <w:jc w:val="right"/>
            </w:pPr>
            <w:r>
              <w:rPr>
                <w:rFonts w:ascii="Consolas" w:cs="Consolas" w:eastAsia="Consolas" w:hAnsi="Consolas"/>
                <w:b w:val="false"/>
                <w:bCs w:val="false"/>
                <w:color w:val="6A6C83"/>
                <w:sz w:val="16"/>
                <w:szCs w:val="16"/>
              </w:rPr>
              <w:t xml:space="preserve">[            ]</w:t>
            </w:r>
          </w:p>
        </w:tc>
      </w:tr>
      <w:tr>
        <w:tc>
          <w:tcPr>
            <w:tcW w:type="dxa" w:w="2000"/>
            <w:tcMar>
              <w:top w:type="dxa" w:w="70"/>
              <w:left w:type="dxa" w:w="110"/>
              <w:bottom w:type="dxa" w:w="70"/>
              <w:right w:type="dxa" w:w="110"/>
            </w:tcMar>
            <w:vAlign w:val="top"/>
          </w:tcPr>
          <w:p>
            <w:r>
              <w:rPr>
                <w:rFonts w:ascii="Calibri" w:cs="Calibri" w:eastAsia="Calibri" w:hAnsi="Calibri"/>
                <w:b/>
                <w:bCs/>
                <w:color w:val="0D0E1A"/>
                <w:sz w:val="18"/>
                <w:szCs w:val="18"/>
              </w:rPr>
              <w:t xml:space="preserve">M6 · End W12</w:t>
            </w:r>
          </w:p>
        </w:tc>
        <w:tc>
          <w:tcPr>
            <w:tcW w:type="dxa" w:w="36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Go-live &amp; handover accepted</w:t>
            </w:r>
          </w:p>
        </w:tc>
        <w:tc>
          <w:tcPr>
            <w:tcW w:type="dxa" w:w="1400"/>
            <w:tcMar>
              <w:top w:type="dxa" w:w="70"/>
              <w:left w:type="dxa" w:w="110"/>
              <w:bottom w:type="dxa" w:w="70"/>
              <w:right w:type="dxa" w:w="110"/>
            </w:tcMar>
            <w:vAlign w:val="top"/>
          </w:tcPr>
          <w:p>
            <w:pPr>
              <w:jc w:val="right"/>
            </w:pPr>
            <w:r>
              <w:rPr>
                <w:rFonts w:ascii="Consolas" w:cs="Consolas" w:eastAsia="Consolas" w:hAnsi="Consolas"/>
                <w:b/>
                <w:bCs/>
                <w:color w:val="7C3AED"/>
                <w:sz w:val="17"/>
                <w:szCs w:val="17"/>
              </w:rPr>
              <w:t xml:space="preserve">15%</w:t>
            </w:r>
          </w:p>
        </w:tc>
        <w:tc>
          <w:tcPr>
            <w:tcW w:type="dxa" w:w="2026"/>
            <w:tcMar>
              <w:top w:type="dxa" w:w="70"/>
              <w:left w:type="dxa" w:w="110"/>
              <w:bottom w:type="dxa" w:w="70"/>
              <w:right w:type="dxa" w:w="110"/>
            </w:tcMar>
            <w:vAlign w:val="top"/>
          </w:tcPr>
          <w:p>
            <w:pPr>
              <w:jc w:val="right"/>
            </w:pPr>
            <w:r>
              <w:rPr>
                <w:rFonts w:ascii="Consolas" w:cs="Consolas" w:eastAsia="Consolas" w:hAnsi="Consolas"/>
                <w:b w:val="false"/>
                <w:bCs w:val="false"/>
                <w:color w:val="6A6C83"/>
                <w:sz w:val="16"/>
                <w:szCs w:val="16"/>
              </w:rPr>
              <w:t xml:space="preserve">[            ]</w:t>
            </w:r>
          </w:p>
        </w:tc>
      </w:tr>
      <w:tr>
        <w:tc>
          <w:tcPr>
            <w:tcW w:type="dxa" w:w="2000"/>
            <w:tcMar>
              <w:top w:type="dxa" w:w="70"/>
              <w:left w:type="dxa" w:w="110"/>
              <w:bottom w:type="dxa" w:w="70"/>
              <w:right w:type="dxa" w:w="110"/>
            </w:tcMar>
            <w:vAlign w:val="top"/>
          </w:tcPr>
          <w:p>
            <w:r>
              <w:rPr>
                <w:rFonts w:ascii="Calibri" w:cs="Calibri" w:eastAsia="Calibri" w:hAnsi="Calibri"/>
                <w:b/>
                <w:bCs/>
                <w:color w:val="0D0E1A"/>
                <w:sz w:val="18"/>
                <w:szCs w:val="18"/>
              </w:rPr>
              <w:t xml:space="preserve">Warranty end</w:t>
            </w:r>
          </w:p>
        </w:tc>
        <w:tc>
          <w:tcPr>
            <w:tcW w:type="dxa" w:w="36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End of the warranty period (Section 16)</w:t>
            </w:r>
          </w:p>
        </w:tc>
        <w:tc>
          <w:tcPr>
            <w:tcW w:type="dxa" w:w="1400"/>
            <w:tcMar>
              <w:top w:type="dxa" w:w="70"/>
              <w:left w:type="dxa" w:w="110"/>
              <w:bottom w:type="dxa" w:w="70"/>
              <w:right w:type="dxa" w:w="110"/>
            </w:tcMar>
            <w:vAlign w:val="top"/>
          </w:tcPr>
          <w:p>
            <w:pPr>
              <w:jc w:val="right"/>
            </w:pPr>
            <w:r>
              <w:rPr>
                <w:rFonts w:ascii="Consolas" w:cs="Consolas" w:eastAsia="Consolas" w:hAnsi="Consolas"/>
                <w:b/>
                <w:bCs/>
                <w:color w:val="7C3AED"/>
                <w:sz w:val="17"/>
                <w:szCs w:val="17"/>
              </w:rPr>
              <w:t xml:space="preserve">5%</w:t>
            </w:r>
          </w:p>
        </w:tc>
        <w:tc>
          <w:tcPr>
            <w:tcW w:type="dxa" w:w="2026"/>
            <w:tcMar>
              <w:top w:type="dxa" w:w="70"/>
              <w:left w:type="dxa" w:w="110"/>
              <w:bottom w:type="dxa" w:w="70"/>
              <w:right w:type="dxa" w:w="110"/>
            </w:tcMar>
            <w:vAlign w:val="top"/>
          </w:tcPr>
          <w:p>
            <w:pPr>
              <w:jc w:val="right"/>
            </w:pPr>
            <w:r>
              <w:rPr>
                <w:rFonts w:ascii="Consolas" w:cs="Consolas" w:eastAsia="Consolas" w:hAnsi="Consolas"/>
                <w:b w:val="false"/>
                <w:bCs w:val="false"/>
                <w:color w:val="6A6C83"/>
                <w:sz w:val="16"/>
                <w:szCs w:val="16"/>
              </w:rPr>
              <w:t xml:space="preserve">[            ]</w:t>
            </w:r>
          </w:p>
        </w:tc>
      </w:tr>
      <w:tr>
        <w:tc>
          <w:tcPr>
            <w:tcW w:type="dxa" w:w="2000"/>
            <w:tcMar>
              <w:top w:type="dxa" w:w="70"/>
              <w:left w:type="dxa" w:w="110"/>
              <w:bottom w:type="dxa" w:w="70"/>
              <w:right w:type="dxa" w:w="110"/>
            </w:tcMar>
            <w:vAlign w:val="top"/>
          </w:tcPr>
          <w:p>
            <w:r>
              <w:rPr>
                <w:rFonts w:ascii="Calibri" w:cs="Calibri" w:eastAsia="Calibri" w:hAnsi="Calibri"/>
                <w:b/>
                <w:bCs/>
                <w:color w:val="0D0E1A"/>
                <w:sz w:val="18"/>
                <w:szCs w:val="18"/>
              </w:rPr>
              <w:t xml:space="preserve">Total</w:t>
            </w:r>
          </w:p>
        </w:tc>
        <w:tc>
          <w:tcPr>
            <w:tcW w:type="dxa" w:w="3600"/>
            <w:tcMar>
              <w:top w:type="dxa" w:w="70"/>
              <w:left w:type="dxa" w:w="110"/>
              <w:bottom w:type="dxa" w:w="70"/>
              <w:right w:type="dxa" w:w="110"/>
            </w:tcMar>
            <w:vAlign w:val="top"/>
          </w:tcPr>
          <w:p>
            <w:r>
              <w:rPr>
                <w:rFonts w:ascii="Calibri" w:cs="Calibri" w:eastAsia="Calibri" w:hAnsi="Calibri"/>
                <w:b w:val="false"/>
                <w:bCs w:val="false"/>
                <w:color w:val="33354A"/>
                <w:sz w:val="18"/>
                <w:szCs w:val="18"/>
              </w:rPr>
              <w:t xml:space="preserve">Fixed engagement fee</w:t>
            </w:r>
          </w:p>
        </w:tc>
        <w:tc>
          <w:tcPr>
            <w:tcW w:type="dxa" w:w="1400"/>
            <w:tcMar>
              <w:top w:type="dxa" w:w="70"/>
              <w:left w:type="dxa" w:w="110"/>
              <w:bottom w:type="dxa" w:w="70"/>
              <w:right w:type="dxa" w:w="110"/>
            </w:tcMar>
            <w:vAlign w:val="top"/>
          </w:tcPr>
          <w:p>
            <w:pPr>
              <w:jc w:val="right"/>
            </w:pPr>
            <w:r>
              <w:rPr>
                <w:rFonts w:ascii="Consolas" w:cs="Consolas" w:eastAsia="Consolas" w:hAnsi="Consolas"/>
                <w:b/>
                <w:bCs/>
                <w:color w:val="7C3AED"/>
                <w:sz w:val="17"/>
                <w:szCs w:val="17"/>
              </w:rPr>
              <w:t xml:space="preserve">100%</w:t>
            </w:r>
          </w:p>
        </w:tc>
        <w:tc>
          <w:tcPr>
            <w:tcW w:type="dxa" w:w="2026"/>
            <w:tcMar>
              <w:top w:type="dxa" w:w="70"/>
              <w:left w:type="dxa" w:w="110"/>
              <w:bottom w:type="dxa" w:w="70"/>
              <w:right w:type="dxa" w:w="110"/>
            </w:tcMar>
            <w:vAlign w:val="top"/>
          </w:tcPr>
          <w:p>
            <w:pPr>
              <w:jc w:val="right"/>
            </w:pPr>
            <w:r>
              <w:rPr>
                <w:rFonts w:ascii="Consolas" w:cs="Consolas" w:eastAsia="Consolas" w:hAnsi="Consolas"/>
                <w:b w:val="false"/>
                <w:bCs w:val="false"/>
                <w:color w:val="6A6C83"/>
                <w:sz w:val="16"/>
                <w:szCs w:val="16"/>
              </w:rPr>
              <w:t xml:space="preserve">[   total   ]</w:t>
            </w:r>
          </w:p>
        </w:tc>
      </w:tr>
    </w:tbl>
    <w:p>
      <w:pPr>
        <w:pBdr>
          <w:left w:val="single" w:color="B7791F" w:sz="18"/>
        </w:pBdr>
        <w:shd w:fill="F4F5FA" w:color="auto" w:val="clear"/>
        <w:spacing w:after="40" w:before="120"/>
      </w:pPr>
      <w:r>
        <w:rPr>
          <w:rFonts w:ascii="Calibri" w:cs="Calibri" w:eastAsia="Calibri" w:hAnsi="Calibri"/>
          <w:b/>
          <w:bCs/>
          <w:color w:val="B7791F"/>
          <w:sz w:val="19"/>
          <w:szCs w:val="19"/>
        </w:rPr>
        <w:t xml:space="preserve">Commercial notes.  </w:t>
      </w:r>
      <w:r>
        <w:rPr>
          <w:rFonts w:ascii="Calibri" w:cs="Calibri" w:eastAsia="Calibri" w:hAnsi="Calibri"/>
          <w:color w:val="33354A"/>
          <w:sz w:val="19"/>
          <w:szCs w:val="19"/>
        </w:rPr>
        <w:t xml:space="preserve">Amounts, currency, tax treatment and invoice terms are inserted on execution and are governed by the parties' master agreement. Cloud hosting and third-party licences are billed to the Client at cost and are additional to the fixed fee. Invoices are payable within the agreed terms of each accepted milestone.</w:t>
      </w:r>
    </w:p>
    <w:p>
      <w:pPr>
        <w:spacing w:after="40" w:before="60"/>
      </w:pPr>
      <w:r>
        <w:rPr>
          <w:rFonts w:ascii="Consolas" w:cs="Consolas" w:eastAsia="Consolas" w:hAnsi="Consolas"/>
          <w:b/>
          <w:bCs/>
          <w:color w:val="0E9AAC"/>
          <w:spacing w:val="60"/>
          <w:sz w:val="15"/>
          <w:szCs w:val="15"/>
        </w:rPr>
        <w:t xml:space="preserve">AFTER GO-LIVE</w:t>
      </w:r>
    </w:p>
    <w:p>
      <w:pPr>
        <w:pStyle w:val="Heading1"/>
        <w:spacing w:after="120" w:before="60"/>
      </w:pPr>
      <w:r>
        <w:rPr>
          <w:rFonts w:ascii="Consolas" w:cs="Consolas" w:eastAsia="Consolas" w:hAnsi="Consolas"/>
          <w:b/>
          <w:bCs/>
          <w:color w:val="7C3AED"/>
          <w:sz w:val="26"/>
          <w:szCs w:val="26"/>
        </w:rPr>
        <w:t xml:space="preserve">16  </w:t>
      </w:r>
      <w:r>
        <w:rPr>
          <w:rFonts w:ascii="Calibri" w:cs="Calibri" w:eastAsia="Calibri" w:hAnsi="Calibri"/>
          <w:b/>
          <w:bCs/>
          <w:color w:val="0D0E1A"/>
          <w:sz w:val="30"/>
          <w:szCs w:val="30"/>
        </w:rPr>
        <w:t xml:space="preserve">Warranty, support &amp; IP</w:t>
      </w:r>
    </w:p>
    <w:p>
      <w:pPr>
        <w:pStyle w:val="Heading2"/>
        <w:spacing w:after="90" w:before="220"/>
      </w:pPr>
      <w:r>
        <w:rPr>
          <w:rFonts w:ascii="Calibri" w:cs="Calibri" w:eastAsia="Calibri" w:hAnsi="Calibri"/>
          <w:b/>
          <w:bCs/>
          <w:color w:val="0D0E1A"/>
          <w:sz w:val="21"/>
          <w:szCs w:val="21"/>
        </w:rPr>
        <w:t xml:space="preserve">Warranty &amp; support</w:t>
      </w:r>
    </w:p>
    <w:p>
      <w:pPr>
        <w:spacing w:after="110"/>
      </w:pPr>
      <w:r>
        <w:rPr>
          <w:rFonts w:ascii="Consolas" w:cs="Consolas" w:eastAsia="Consolas" w:hAnsi="Consolas"/>
          <w:b/>
          <w:bCs/>
          <w:color w:val="7C3AED"/>
          <w:sz w:val="16"/>
          <w:szCs w:val="16"/>
        </w:rPr>
        <w:t xml:space="preserve">01   </w:t>
      </w:r>
      <w:r>
        <w:rPr>
          <w:rFonts w:ascii="Calibri" w:cs="Calibri" w:eastAsia="Calibri" w:hAnsi="Calibri"/>
          <w:b/>
          <w:bCs/>
          <w:color w:val="0D0E1A"/>
          <w:sz w:val="20"/>
          <w:szCs w:val="20"/>
        </w:rPr>
        <w:t xml:space="preserve">Hypercare  </w:t>
      </w:r>
      <w:r>
        <w:rPr>
          <w:rFonts w:ascii="Calibri" w:cs="Calibri" w:eastAsia="Calibri" w:hAnsi="Calibri"/>
          <w:color w:val="33354A"/>
          <w:sz w:val="20"/>
          <w:szCs w:val="20"/>
        </w:rPr>
        <w:t xml:space="preserve">Thirty days of close monitoring and priority defect response from Go-Live, at no additional cost.</w:t>
      </w:r>
    </w:p>
    <w:p>
      <w:pPr>
        <w:spacing w:after="110"/>
      </w:pPr>
      <w:r>
        <w:rPr>
          <w:rFonts w:ascii="Consolas" w:cs="Consolas" w:eastAsia="Consolas" w:hAnsi="Consolas"/>
          <w:b/>
          <w:bCs/>
          <w:color w:val="7C3AED"/>
          <w:sz w:val="16"/>
          <w:szCs w:val="16"/>
        </w:rPr>
        <w:t xml:space="preserve">02   </w:t>
      </w:r>
      <w:r>
        <w:rPr>
          <w:rFonts w:ascii="Calibri" w:cs="Calibri" w:eastAsia="Calibri" w:hAnsi="Calibri"/>
          <w:b/>
          <w:bCs/>
          <w:color w:val="0D0E1A"/>
          <w:sz w:val="20"/>
          <w:szCs w:val="20"/>
        </w:rPr>
        <w:t xml:space="preserve">Warranty period  </w:t>
      </w:r>
      <w:r>
        <w:rPr>
          <w:rFonts w:ascii="Calibri" w:cs="Calibri" w:eastAsia="Calibri" w:hAnsi="Calibri"/>
          <w:color w:val="33354A"/>
          <w:sz w:val="20"/>
          <w:szCs w:val="20"/>
        </w:rPr>
        <w:t xml:space="preserve">Ninety days from Go-Live during which S1 and S2 defects in delivered scope are corrected at no cost.</w:t>
      </w:r>
    </w:p>
    <w:p>
      <w:pPr>
        <w:spacing w:after="110"/>
      </w:pPr>
      <w:r>
        <w:rPr>
          <w:rFonts w:ascii="Consolas" w:cs="Consolas" w:eastAsia="Consolas" w:hAnsi="Consolas"/>
          <w:b/>
          <w:bCs/>
          <w:color w:val="7C3AED"/>
          <w:sz w:val="16"/>
          <w:szCs w:val="16"/>
        </w:rPr>
        <w:t xml:space="preserve">03   </w:t>
      </w:r>
      <w:r>
        <w:rPr>
          <w:rFonts w:ascii="Calibri" w:cs="Calibri" w:eastAsia="Calibri" w:hAnsi="Calibri"/>
          <w:b/>
          <w:bCs/>
          <w:color w:val="0D0E1A"/>
          <w:sz w:val="20"/>
          <w:szCs w:val="20"/>
        </w:rPr>
        <w:t xml:space="preserve">Exclusions  </w:t>
      </w:r>
      <w:r>
        <w:rPr>
          <w:rFonts w:ascii="Calibri" w:cs="Calibri" w:eastAsia="Calibri" w:hAnsi="Calibri"/>
          <w:color w:val="33354A"/>
          <w:sz w:val="20"/>
          <w:szCs w:val="20"/>
        </w:rPr>
        <w:t xml:space="preserve">Warranty excludes issues caused by Client changes to configuration, unsupported environments, or third-party systems outside the delivered scope.</w:t>
      </w:r>
    </w:p>
    <w:p>
      <w:pPr>
        <w:spacing w:after="110"/>
      </w:pPr>
      <w:r>
        <w:rPr>
          <w:rFonts w:ascii="Consolas" w:cs="Consolas" w:eastAsia="Consolas" w:hAnsi="Consolas"/>
          <w:b/>
          <w:bCs/>
          <w:color w:val="7C3AED"/>
          <w:sz w:val="16"/>
          <w:szCs w:val="16"/>
        </w:rPr>
        <w:t xml:space="preserve">04   </w:t>
      </w:r>
      <w:r>
        <w:rPr>
          <w:rFonts w:ascii="Calibri" w:cs="Calibri" w:eastAsia="Calibri" w:hAnsi="Calibri"/>
          <w:b/>
          <w:bCs/>
          <w:color w:val="0D0E1A"/>
          <w:sz w:val="20"/>
          <w:szCs w:val="20"/>
        </w:rPr>
        <w:t xml:space="preserve">Ongoing support  </w:t>
      </w:r>
      <w:r>
        <w:rPr>
          <w:rFonts w:ascii="Calibri" w:cs="Calibri" w:eastAsia="Calibri" w:hAnsi="Calibri"/>
          <w:color w:val="33354A"/>
          <w:sz w:val="20"/>
          <w:szCs w:val="20"/>
        </w:rPr>
        <w:t xml:space="preserve">Support or a managed-service arrangement beyond warranty is available under a separate agreement.</w:t>
      </w:r>
    </w:p>
    <w:p>
      <w:pPr>
        <w:pStyle w:val="Heading2"/>
        <w:spacing w:after="90" w:before="220"/>
      </w:pPr>
      <w:r>
        <w:rPr>
          <w:rFonts w:ascii="Calibri" w:cs="Calibri" w:eastAsia="Calibri" w:hAnsi="Calibri"/>
          <w:b/>
          <w:bCs/>
          <w:color w:val="0D0E1A"/>
          <w:sz w:val="21"/>
          <w:szCs w:val="21"/>
        </w:rPr>
        <w:t xml:space="preserve">Intellectual property &amp; confidentiality</w:t>
      </w:r>
    </w:p>
    <w:p>
      <w:pPr>
        <w:spacing w:after="110"/>
      </w:pPr>
      <w:r>
        <w:rPr>
          <w:rFonts w:ascii="Consolas" w:cs="Consolas" w:eastAsia="Consolas" w:hAnsi="Consolas"/>
          <w:b/>
          <w:bCs/>
          <w:color w:val="7C3AED"/>
          <w:sz w:val="16"/>
          <w:szCs w:val="16"/>
        </w:rPr>
        <w:t xml:space="preserve">01   </w:t>
      </w:r>
      <w:r>
        <w:rPr>
          <w:rFonts w:ascii="Calibri" w:cs="Calibri" w:eastAsia="Calibri" w:hAnsi="Calibri"/>
          <w:b/>
          <w:bCs/>
          <w:color w:val="0D0E1A"/>
          <w:sz w:val="20"/>
          <w:szCs w:val="20"/>
        </w:rPr>
        <w:t xml:space="preserve">Ownership  </w:t>
      </w:r>
      <w:r>
        <w:rPr>
          <w:rFonts w:ascii="Calibri" w:cs="Calibri" w:eastAsia="Calibri" w:hAnsi="Calibri"/>
          <w:color w:val="33354A"/>
          <w:sz w:val="20"/>
          <w:szCs w:val="20"/>
        </w:rPr>
        <w:t xml:space="preserve">On full payment, intellectual property in the bespoke deliverables and the trained model weights transfers to the Client.</w:t>
      </w:r>
    </w:p>
    <w:p>
      <w:pPr>
        <w:spacing w:after="110"/>
      </w:pPr>
      <w:r>
        <w:rPr>
          <w:rFonts w:ascii="Consolas" w:cs="Consolas" w:eastAsia="Consolas" w:hAnsi="Consolas"/>
          <w:b/>
          <w:bCs/>
          <w:color w:val="7C3AED"/>
          <w:sz w:val="16"/>
          <w:szCs w:val="16"/>
        </w:rPr>
        <w:t xml:space="preserve">02   </w:t>
      </w:r>
      <w:r>
        <w:rPr>
          <w:rFonts w:ascii="Calibri" w:cs="Calibri" w:eastAsia="Calibri" w:hAnsi="Calibri"/>
          <w:b/>
          <w:bCs/>
          <w:color w:val="0D0E1A"/>
          <w:sz w:val="20"/>
          <w:szCs w:val="20"/>
        </w:rPr>
        <w:t xml:space="preserve">Pre-existing IP  </w:t>
      </w:r>
      <w:r>
        <w:rPr>
          <w:rFonts w:ascii="Calibri" w:cs="Calibri" w:eastAsia="Calibri" w:hAnsi="Calibri"/>
          <w:color w:val="33354A"/>
          <w:sz w:val="20"/>
          <w:szCs w:val="20"/>
        </w:rPr>
        <w:t xml:space="preserve">Pixorama retains its pre-existing tools, libraries and know-how, and grants the Client a licence to use them as embedded in the deliverables.</w:t>
      </w:r>
    </w:p>
    <w:p>
      <w:pPr>
        <w:spacing w:after="110"/>
      </w:pPr>
      <w:r>
        <w:rPr>
          <w:rFonts w:ascii="Consolas" w:cs="Consolas" w:eastAsia="Consolas" w:hAnsi="Consolas"/>
          <w:b/>
          <w:bCs/>
          <w:color w:val="7C3AED"/>
          <w:sz w:val="16"/>
          <w:szCs w:val="16"/>
        </w:rPr>
        <w:t xml:space="preserve">03   </w:t>
      </w:r>
      <w:r>
        <w:rPr>
          <w:rFonts w:ascii="Calibri" w:cs="Calibri" w:eastAsia="Calibri" w:hAnsi="Calibri"/>
          <w:b/>
          <w:bCs/>
          <w:color w:val="0D0E1A"/>
          <w:sz w:val="20"/>
          <w:szCs w:val="20"/>
        </w:rPr>
        <w:t xml:space="preserve">Third-party components  </w:t>
      </w:r>
      <w:r>
        <w:rPr>
          <w:rFonts w:ascii="Calibri" w:cs="Calibri" w:eastAsia="Calibri" w:hAnsi="Calibri"/>
          <w:color w:val="33354A"/>
          <w:sz w:val="20"/>
          <w:szCs w:val="20"/>
        </w:rPr>
        <w:t xml:space="preserve">Open-source and third-party components remain under their own licences, disclosed on handover.</w:t>
      </w:r>
    </w:p>
    <w:p>
      <w:pPr>
        <w:spacing w:after="110"/>
      </w:pPr>
      <w:r>
        <w:rPr>
          <w:rFonts w:ascii="Consolas" w:cs="Consolas" w:eastAsia="Consolas" w:hAnsi="Consolas"/>
          <w:b/>
          <w:bCs/>
          <w:color w:val="7C3AED"/>
          <w:sz w:val="16"/>
          <w:szCs w:val="16"/>
        </w:rPr>
        <w:t xml:space="preserve">04   </w:t>
      </w:r>
      <w:r>
        <w:rPr>
          <w:rFonts w:ascii="Calibri" w:cs="Calibri" w:eastAsia="Calibri" w:hAnsi="Calibri"/>
          <w:b/>
          <w:bCs/>
          <w:color w:val="0D0E1A"/>
          <w:sz w:val="20"/>
          <w:szCs w:val="20"/>
        </w:rPr>
        <w:t xml:space="preserve">Confidentiality &amp; data  </w:t>
      </w:r>
      <w:r>
        <w:rPr>
          <w:rFonts w:ascii="Calibri" w:cs="Calibri" w:eastAsia="Calibri" w:hAnsi="Calibri"/>
          <w:color w:val="33354A"/>
          <w:sz w:val="20"/>
          <w:szCs w:val="20"/>
        </w:rPr>
        <w:t xml:space="preserve">Each party protects the other's confidential information; personal data is handled per the parties' data-processing terms.</w:t>
      </w:r>
    </w:p>
    <w:p>
      <w:pPr>
        <w:pBdr>
          <w:left w:val="single" w:color="B7791F" w:sz="18"/>
        </w:pBdr>
        <w:shd w:fill="F4F5FA" w:color="auto" w:val="clear"/>
        <w:spacing w:after="40" w:before="120"/>
      </w:pPr>
      <w:r>
        <w:rPr>
          <w:rFonts w:ascii="Calibri" w:cs="Calibri" w:eastAsia="Calibri" w:hAnsi="Calibri"/>
          <w:b/>
          <w:bCs/>
          <w:color w:val="B7791F"/>
          <w:sz w:val="19"/>
          <w:szCs w:val="19"/>
        </w:rPr>
        <w:t xml:space="preserve">Precedence.  </w:t>
      </w:r>
      <w:r>
        <w:rPr>
          <w:rFonts w:ascii="Calibri" w:cs="Calibri" w:eastAsia="Calibri" w:hAnsi="Calibri"/>
          <w:color w:val="33354A"/>
          <w:sz w:val="19"/>
          <w:szCs w:val="19"/>
        </w:rPr>
        <w:t xml:space="preserve">This Statement of Work governs scope, acceptance, schedule and commercials for this engagement. Legal terms (liability, warranties, IP, data protection, termination) are governed by the parties' master services agreement; where that agreement is silent, the clauses above apply. Nothing here is legal advice, and the parties should have this document reviewed before signature.</w:t>
      </w:r>
    </w:p>
    <w:p>
      <w:pPr>
        <w:spacing w:after="40" w:before="60"/>
      </w:pPr>
      <w:r>
        <w:rPr>
          <w:rFonts w:ascii="Consolas" w:cs="Consolas" w:eastAsia="Consolas" w:hAnsi="Consolas"/>
          <w:b/>
          <w:bCs/>
          <w:color w:val="0E9AAC"/>
          <w:spacing w:val="60"/>
          <w:sz w:val="15"/>
          <w:szCs w:val="15"/>
        </w:rPr>
        <w:t xml:space="preserve">RUNNING THE ENGAGEMENT</w:t>
      </w:r>
    </w:p>
    <w:p>
      <w:pPr>
        <w:pStyle w:val="Heading1"/>
        <w:spacing w:after="120" w:before="60"/>
      </w:pPr>
      <w:r>
        <w:rPr>
          <w:rFonts w:ascii="Consolas" w:cs="Consolas" w:eastAsia="Consolas" w:hAnsi="Consolas"/>
          <w:b/>
          <w:bCs/>
          <w:color w:val="7C3AED"/>
          <w:sz w:val="26"/>
          <w:szCs w:val="26"/>
        </w:rPr>
        <w:t xml:space="preserve">17  </w:t>
      </w:r>
      <w:r>
        <w:rPr>
          <w:rFonts w:ascii="Calibri" w:cs="Calibri" w:eastAsia="Calibri" w:hAnsi="Calibri"/>
          <w:b/>
          <w:bCs/>
          <w:color w:val="0D0E1A"/>
          <w:sz w:val="30"/>
          <w:szCs w:val="30"/>
        </w:rPr>
        <w:t xml:space="preserve">Governance &amp; reporting</w:t>
      </w:r>
    </w:p>
    <w:p>
      <w:pPr>
        <w:pStyle w:val="ListParagraph"/>
        <w:numPr>
          <w:ilvl w:val="0"/>
          <w:numId w:val="1"/>
        </w:numPr>
        <w:spacing w:after="50"/>
      </w:pPr>
      <w:r>
        <w:rPr>
          <w:rFonts w:ascii="Calibri" w:cs="Calibri" w:eastAsia="Calibri" w:hAnsi="Calibri"/>
          <w:color w:val="33354A"/>
          <w:sz w:val="20"/>
          <w:szCs w:val="20"/>
        </w:rPr>
        <w:t xml:space="preserve">Weekly demo — a working demonstration on staging at the end of each week.</w:t>
      </w:r>
    </w:p>
    <w:p>
      <w:pPr>
        <w:pStyle w:val="ListParagraph"/>
        <w:numPr>
          <w:ilvl w:val="0"/>
          <w:numId w:val="1"/>
        </w:numPr>
        <w:spacing w:after="50"/>
      </w:pPr>
      <w:r>
        <w:rPr>
          <w:rFonts w:ascii="Calibri" w:cs="Calibri" w:eastAsia="Calibri" w:hAnsi="Calibri"/>
          <w:color w:val="33354A"/>
          <w:sz w:val="20"/>
          <w:szCs w:val="20"/>
        </w:rPr>
        <w:t xml:space="preserve">Written status — a weekly note covering progress, upcoming work, risks and any blocked dependencies.</w:t>
      </w:r>
    </w:p>
    <w:p>
      <w:pPr>
        <w:pStyle w:val="ListParagraph"/>
        <w:numPr>
          <w:ilvl w:val="0"/>
          <w:numId w:val="1"/>
        </w:numPr>
        <w:spacing w:after="50"/>
      </w:pPr>
      <w:r>
        <w:rPr>
          <w:rFonts w:ascii="Calibri" w:cs="Calibri" w:eastAsia="Calibri" w:hAnsi="Calibri"/>
          <w:color w:val="33354A"/>
          <w:sz w:val="20"/>
          <w:szCs w:val="20"/>
        </w:rPr>
        <w:t xml:space="preserve">Shared board — a live board the Client can view at any time.</w:t>
      </w:r>
    </w:p>
    <w:p>
      <w:pPr>
        <w:pStyle w:val="ListParagraph"/>
        <w:numPr>
          <w:ilvl w:val="0"/>
          <w:numId w:val="1"/>
        </w:numPr>
        <w:spacing w:after="50"/>
      </w:pPr>
      <w:r>
        <w:rPr>
          <w:rFonts w:ascii="Calibri" w:cs="Calibri" w:eastAsia="Calibri" w:hAnsi="Calibri"/>
          <w:color w:val="33354A"/>
          <w:sz w:val="20"/>
          <w:szCs w:val="20"/>
        </w:rPr>
        <w:t xml:space="preserve">Single points of contact — each party nominates one contact for day-to-day decisions.</w:t>
      </w:r>
    </w:p>
    <w:p>
      <w:pPr>
        <w:pStyle w:val="ListParagraph"/>
        <w:numPr>
          <w:ilvl w:val="0"/>
          <w:numId w:val="1"/>
        </w:numPr>
        <w:spacing w:after="50"/>
      </w:pPr>
      <w:r>
        <w:rPr>
          <w:rFonts w:ascii="Calibri" w:cs="Calibri" w:eastAsia="Calibri" w:hAnsi="Calibri"/>
          <w:color w:val="33354A"/>
          <w:sz w:val="20"/>
          <w:szCs w:val="20"/>
        </w:rPr>
        <w:t xml:space="preserve">Change &amp; risk logs — maintained throughout and reviewed at the weekly checkpoint.</w:t>
      </w:r>
    </w:p>
    <w:p>
      <w:pPr>
        <w:pStyle w:val="ListParagraph"/>
        <w:numPr>
          <w:ilvl w:val="0"/>
          <w:numId w:val="1"/>
        </w:numPr>
        <w:spacing w:after="50"/>
      </w:pPr>
      <w:r>
        <w:rPr>
          <w:rFonts w:ascii="Calibri" w:cs="Calibri" w:eastAsia="Calibri" w:hAnsi="Calibri"/>
          <w:color w:val="33354A"/>
          <w:sz w:val="20"/>
          <w:szCs w:val="20"/>
        </w:rPr>
        <w:t xml:space="preserve">Escalation — unresolved items escalate to each party's nominated owner within two Business Days.</w:t>
      </w:r>
    </w:p>
    <w:p>
      <w:pPr>
        <w:spacing w:after="40" w:before="60"/>
      </w:pPr>
      <w:r>
        <w:rPr>
          <w:rFonts w:ascii="Consolas" w:cs="Consolas" w:eastAsia="Consolas" w:hAnsi="Consolas"/>
          <w:b/>
          <w:bCs/>
          <w:color w:val="0E9AAC"/>
          <w:spacing w:val="60"/>
          <w:sz w:val="15"/>
          <w:szCs w:val="15"/>
        </w:rPr>
        <w:t xml:space="preserve">MANAGED OPENLY</w:t>
      </w:r>
    </w:p>
    <w:p>
      <w:pPr>
        <w:pStyle w:val="Heading1"/>
        <w:spacing w:after="120" w:before="60"/>
      </w:pPr>
      <w:r>
        <w:rPr>
          <w:rFonts w:ascii="Consolas" w:cs="Consolas" w:eastAsia="Consolas" w:hAnsi="Consolas"/>
          <w:b/>
          <w:bCs/>
          <w:color w:val="7C3AED"/>
          <w:sz w:val="26"/>
          <w:szCs w:val="26"/>
        </w:rPr>
        <w:t xml:space="preserve">18  </w:t>
      </w:r>
      <w:r>
        <w:rPr>
          <w:rFonts w:ascii="Calibri" w:cs="Calibri" w:eastAsia="Calibri" w:hAnsi="Calibri"/>
          <w:b/>
          <w:bCs/>
          <w:color w:val="0D0E1A"/>
          <w:sz w:val="30"/>
          <w:szCs w:val="30"/>
        </w:rPr>
        <w:t xml:space="preserve">Key risks &amp; mitigation</w:t>
      </w:r>
    </w:p>
    <w:tbl>
      <w:tblPr>
        <w:tblW w:type="dxa" w:w="9026"/>
        <w:tblBorders>
          <w:top w:val="single" w:color="D9DCEA" w:sz="4"/>
          <w:left w:val="none"/>
          <w:bottom w:val="single" w:color="D9DCEA" w:sz="4"/>
          <w:right w:val="none"/>
          <w:insideH w:val="single" w:color="D9DCEA" w:sz="4"/>
          <w:insideV w:val="none"/>
        </w:tblBorders>
      </w:tblPr>
      <w:tblGrid>
        <w:gridCol w:w="2600"/>
        <w:gridCol w:w="1200"/>
        <w:gridCol w:w="5226"/>
      </w:tblGrid>
      <w:tr>
        <w:trPr>
          <w:tblHeader/>
        </w:trPr>
        <w:tc>
          <w:tcPr>
            <w:tcW w:type="dxa" w:w="26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Risk</w:t>
            </w:r>
          </w:p>
        </w:tc>
        <w:tc>
          <w:tcPr>
            <w:tcW w:type="dxa" w:w="1200"/>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Level</w:t>
            </w:r>
          </w:p>
        </w:tc>
        <w:tc>
          <w:tcPr>
            <w:tcW w:type="dxa" w:w="5226"/>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Mitigation</w:t>
            </w:r>
          </w:p>
        </w:tc>
      </w:tr>
      <w:tr>
        <w:tc>
          <w:tcPr>
            <w:tcW w:type="dxa" w:w="2600"/>
            <w:tcMar>
              <w:top w:type="dxa" w:w="70"/>
              <w:left w:type="dxa" w:w="110"/>
              <w:bottom w:type="dxa" w:w="70"/>
              <w:right w:type="dxa" w:w="110"/>
            </w:tcMar>
            <w:vAlign w:val="top"/>
          </w:tcPr>
          <w:p>
            <w:r>
              <w:rPr>
                <w:rFonts w:ascii="Calibri" w:cs="Calibri" w:eastAsia="Calibri" w:hAnsi="Calibri"/>
                <w:b/>
                <w:bCs/>
                <w:color w:val="0D0E1A"/>
                <w:sz w:val="18"/>
                <w:szCs w:val="18"/>
              </w:rPr>
              <w:t xml:space="preserve">Insufficient labelled training data</w:t>
            </w:r>
          </w:p>
        </w:tc>
        <w:tc>
          <w:tcPr>
            <w:tcW w:type="dxa" w:w="1200"/>
            <w:tcMar>
              <w:top w:type="dxa" w:w="70"/>
              <w:left w:type="dxa" w:w="110"/>
              <w:bottom w:type="dxa" w:w="70"/>
              <w:right w:type="dxa" w:w="110"/>
            </w:tcMar>
            <w:vAlign w:val="top"/>
          </w:tcPr>
          <w:p>
            <w:r>
              <w:rPr>
                <w:rFonts w:ascii="Consolas" w:cs="Consolas" w:eastAsia="Consolas" w:hAnsi="Consolas"/>
                <w:b/>
                <w:bCs/>
                <w:color w:val="33354A"/>
                <w:sz w:val="15"/>
                <w:szCs w:val="15"/>
              </w:rPr>
              <w:t xml:space="preserve">High</w:t>
            </w:r>
          </w:p>
        </w:tc>
        <w:tc>
          <w:tcPr>
            <w:tcW w:type="dxa" w:w="5226"/>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Pretrained backbone; Week-1 labelling sprint; active learning from operator corrections; sub-threshold detections route to human review.</w:t>
            </w:r>
          </w:p>
        </w:tc>
      </w:tr>
      <w:tr>
        <w:tc>
          <w:tcPr>
            <w:tcW w:type="dxa" w:w="2600"/>
            <w:tcMar>
              <w:top w:type="dxa" w:w="70"/>
              <w:left w:type="dxa" w:w="110"/>
              <w:bottom w:type="dxa" w:w="70"/>
              <w:right w:type="dxa" w:w="110"/>
            </w:tcMar>
            <w:vAlign w:val="top"/>
          </w:tcPr>
          <w:p>
            <w:r>
              <w:rPr>
                <w:rFonts w:ascii="Calibri" w:cs="Calibri" w:eastAsia="Calibri" w:hAnsi="Calibri"/>
                <w:b/>
                <w:bCs/>
                <w:color w:val="0D0E1A"/>
                <w:sz w:val="18"/>
                <w:szCs w:val="18"/>
              </w:rPr>
              <w:t xml:space="preserve">Hardware arrives late</w:t>
            </w:r>
          </w:p>
        </w:tc>
        <w:tc>
          <w:tcPr>
            <w:tcW w:type="dxa" w:w="1200"/>
            <w:tcMar>
              <w:top w:type="dxa" w:w="70"/>
              <w:left w:type="dxa" w:w="110"/>
              <w:bottom w:type="dxa" w:w="70"/>
              <w:right w:type="dxa" w:w="110"/>
            </w:tcMar>
            <w:vAlign w:val="top"/>
          </w:tcPr>
          <w:p>
            <w:r>
              <w:rPr>
                <w:rFonts w:ascii="Consolas" w:cs="Consolas" w:eastAsia="Consolas" w:hAnsi="Consolas"/>
                <w:b/>
                <w:bCs/>
                <w:color w:val="33354A"/>
                <w:sz w:val="15"/>
                <w:szCs w:val="15"/>
              </w:rPr>
              <w:t xml:space="preserve">High</w:t>
            </w:r>
          </w:p>
        </w:tc>
        <w:tc>
          <w:tcPr>
            <w:tcW w:type="dxa" w:w="5226"/>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Mock camera driver and recorded image set in Sprint 2; hardware spec frozen at Week 3; software never blocked on hardware.</w:t>
            </w:r>
          </w:p>
        </w:tc>
      </w:tr>
      <w:tr>
        <w:tc>
          <w:tcPr>
            <w:tcW w:type="dxa" w:w="2600"/>
            <w:tcMar>
              <w:top w:type="dxa" w:w="70"/>
              <w:left w:type="dxa" w:w="110"/>
              <w:bottom w:type="dxa" w:w="70"/>
              <w:right w:type="dxa" w:w="110"/>
            </w:tcMar>
            <w:vAlign w:val="top"/>
          </w:tcPr>
          <w:p>
            <w:r>
              <w:rPr>
                <w:rFonts w:ascii="Calibri" w:cs="Calibri" w:eastAsia="Calibri" w:hAnsi="Calibri"/>
                <w:b/>
                <w:bCs/>
                <w:color w:val="0D0E1A"/>
                <w:sz w:val="18"/>
                <w:szCs w:val="18"/>
              </w:rPr>
              <w:t xml:space="preserve">Lighting / positioning variance</w:t>
            </w:r>
          </w:p>
        </w:tc>
        <w:tc>
          <w:tcPr>
            <w:tcW w:type="dxa" w:w="1200"/>
            <w:tcMar>
              <w:top w:type="dxa" w:w="70"/>
              <w:left w:type="dxa" w:w="110"/>
              <w:bottom w:type="dxa" w:w="70"/>
              <w:right w:type="dxa" w:w="110"/>
            </w:tcMar>
            <w:vAlign w:val="top"/>
          </w:tcPr>
          <w:p>
            <w:r>
              <w:rPr>
                <w:rFonts w:ascii="Consolas" w:cs="Consolas" w:eastAsia="Consolas" w:hAnsi="Consolas"/>
                <w:b/>
                <w:bCs/>
                <w:color w:val="33354A"/>
                <w:sz w:val="15"/>
                <w:szCs w:val="15"/>
              </w:rPr>
              <w:t xml:space="preserve">Medium</w:t>
            </w:r>
          </w:p>
        </w:tc>
        <w:tc>
          <w:tcPr>
            <w:tcW w:type="dxa" w:w="5226"/>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Fixed rig geometry, per-station calibration, automatic exposure/focus validation.</w:t>
            </w:r>
          </w:p>
        </w:tc>
      </w:tr>
      <w:tr>
        <w:tc>
          <w:tcPr>
            <w:tcW w:type="dxa" w:w="2600"/>
            <w:tcMar>
              <w:top w:type="dxa" w:w="70"/>
              <w:left w:type="dxa" w:w="110"/>
              <w:bottom w:type="dxa" w:w="70"/>
              <w:right w:type="dxa" w:w="110"/>
            </w:tcMar>
            <w:vAlign w:val="top"/>
          </w:tcPr>
          <w:p>
            <w:r>
              <w:rPr>
                <w:rFonts w:ascii="Calibri" w:cs="Calibri" w:eastAsia="Calibri" w:hAnsi="Calibri"/>
                <w:b/>
                <w:bCs/>
                <w:color w:val="0D0E1A"/>
                <w:sz w:val="18"/>
                <w:szCs w:val="18"/>
              </w:rPr>
              <w:t xml:space="preserve">Integration access delayed</w:t>
            </w:r>
          </w:p>
        </w:tc>
        <w:tc>
          <w:tcPr>
            <w:tcW w:type="dxa" w:w="1200"/>
            <w:tcMar>
              <w:top w:type="dxa" w:w="70"/>
              <w:left w:type="dxa" w:w="110"/>
              <w:bottom w:type="dxa" w:w="70"/>
              <w:right w:type="dxa" w:w="110"/>
            </w:tcMar>
            <w:vAlign w:val="top"/>
          </w:tcPr>
          <w:p>
            <w:r>
              <w:rPr>
                <w:rFonts w:ascii="Consolas" w:cs="Consolas" w:eastAsia="Consolas" w:hAnsi="Consolas"/>
                <w:b/>
                <w:bCs/>
                <w:color w:val="33354A"/>
                <w:sz w:val="15"/>
                <w:szCs w:val="15"/>
              </w:rPr>
              <w:t xml:space="preserve">Medium</w:t>
            </w:r>
          </w:p>
        </w:tc>
        <w:tc>
          <w:tcPr>
            <w:tcW w:type="dxa" w:w="5226"/>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Contract-first connector against an agreed schema with a stub; swapped to live on credentials. Not on the critical path.</w:t>
            </w:r>
          </w:p>
        </w:tc>
      </w:tr>
      <w:tr>
        <w:tc>
          <w:tcPr>
            <w:tcW w:type="dxa" w:w="2600"/>
            <w:tcMar>
              <w:top w:type="dxa" w:w="70"/>
              <w:left w:type="dxa" w:w="110"/>
              <w:bottom w:type="dxa" w:w="70"/>
              <w:right w:type="dxa" w:w="110"/>
            </w:tcMar>
            <w:vAlign w:val="top"/>
          </w:tcPr>
          <w:p>
            <w:r>
              <w:rPr>
                <w:rFonts w:ascii="Calibri" w:cs="Calibri" w:eastAsia="Calibri" w:hAnsi="Calibri"/>
                <w:b/>
                <w:bCs/>
                <w:color w:val="0D0E1A"/>
                <w:sz w:val="18"/>
                <w:szCs w:val="18"/>
              </w:rPr>
              <w:t xml:space="preserve">Scope growth</w:t>
            </w:r>
          </w:p>
        </w:tc>
        <w:tc>
          <w:tcPr>
            <w:tcW w:type="dxa" w:w="1200"/>
            <w:tcMar>
              <w:top w:type="dxa" w:w="70"/>
              <w:left w:type="dxa" w:w="110"/>
              <w:bottom w:type="dxa" w:w="70"/>
              <w:right w:type="dxa" w:w="110"/>
            </w:tcMar>
            <w:vAlign w:val="top"/>
          </w:tcPr>
          <w:p>
            <w:r>
              <w:rPr>
                <w:rFonts w:ascii="Consolas" w:cs="Consolas" w:eastAsia="Consolas" w:hAnsi="Consolas"/>
                <w:b/>
                <w:bCs/>
                <w:color w:val="33354A"/>
                <w:sz w:val="15"/>
                <w:szCs w:val="15"/>
              </w:rPr>
              <w:t xml:space="preserve">Medium</w:t>
            </w:r>
          </w:p>
        </w:tc>
        <w:tc>
          <w:tcPr>
            <w:tcW w:type="dxa" w:w="5226"/>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Fixed deliverable list; change control (Section 14); equal-size swaps.</w:t>
            </w:r>
          </w:p>
        </w:tc>
      </w:tr>
      <w:tr>
        <w:tc>
          <w:tcPr>
            <w:tcW w:type="dxa" w:w="2600"/>
            <w:tcMar>
              <w:top w:type="dxa" w:w="70"/>
              <w:left w:type="dxa" w:w="110"/>
              <w:bottom w:type="dxa" w:w="70"/>
              <w:right w:type="dxa" w:w="110"/>
            </w:tcMar>
            <w:vAlign w:val="top"/>
          </w:tcPr>
          <w:p>
            <w:r>
              <w:rPr>
                <w:rFonts w:ascii="Calibri" w:cs="Calibri" w:eastAsia="Calibri" w:hAnsi="Calibri"/>
                <w:b/>
                <w:bCs/>
                <w:color w:val="0D0E1A"/>
                <w:sz w:val="18"/>
                <w:szCs w:val="18"/>
              </w:rPr>
              <w:t xml:space="preserve">Operator adoption</w:t>
            </w:r>
          </w:p>
        </w:tc>
        <w:tc>
          <w:tcPr>
            <w:tcW w:type="dxa" w:w="1200"/>
            <w:tcMar>
              <w:top w:type="dxa" w:w="70"/>
              <w:left w:type="dxa" w:w="110"/>
              <w:bottom w:type="dxa" w:w="70"/>
              <w:right w:type="dxa" w:w="110"/>
            </w:tcMar>
            <w:vAlign w:val="top"/>
          </w:tcPr>
          <w:p>
            <w:r>
              <w:rPr>
                <w:rFonts w:ascii="Consolas" w:cs="Consolas" w:eastAsia="Consolas" w:hAnsi="Consolas"/>
                <w:b/>
                <w:bCs/>
                <w:color w:val="33354A"/>
                <w:sz w:val="15"/>
                <w:szCs w:val="15"/>
              </w:rPr>
              <w:t xml:space="preserve">Low</w:t>
            </w:r>
          </w:p>
        </w:tc>
        <w:tc>
          <w:tcPr>
            <w:tcW w:type="dxa" w:w="5226"/>
            <w:tcMar>
              <w:top w:type="dxa" w:w="70"/>
              <w:left w:type="dxa" w:w="110"/>
              <w:bottom w:type="dxa" w:w="70"/>
              <w:right w:type="dxa" w:w="110"/>
            </w:tcMar>
            <w:vAlign w:val="top"/>
          </w:tcPr>
          <w:p>
            <w:r>
              <w:rPr>
                <w:rFonts w:ascii="Calibri" w:cs="Calibri" w:eastAsia="Calibri" w:hAnsi="Calibri"/>
                <w:b w:val="false"/>
                <w:bCs w:val="false"/>
                <w:color w:val="33354A"/>
                <w:sz w:val="17"/>
                <w:szCs w:val="17"/>
              </w:rPr>
              <w:t xml:space="preserve">Client operators involved from Week 1, in every demo, and run UAT themselves.</w:t>
            </w:r>
          </w:p>
        </w:tc>
      </w:tr>
    </w:tbl>
    <w:p>
      <w:r>
        <w:br w:type="page"/>
      </w:r>
    </w:p>
    <w:p>
      <w:pPr>
        <w:spacing w:after="40" w:before="60"/>
      </w:pPr>
      <w:r>
        <w:rPr>
          <w:rFonts w:ascii="Consolas" w:cs="Consolas" w:eastAsia="Consolas" w:hAnsi="Consolas"/>
          <w:b/>
          <w:bCs/>
          <w:color w:val="0E9AAC"/>
          <w:spacing w:val="60"/>
          <w:sz w:val="15"/>
          <w:szCs w:val="15"/>
        </w:rPr>
        <w:t xml:space="preserve">AUTHORISATION</w:t>
      </w:r>
    </w:p>
    <w:p>
      <w:pPr>
        <w:pStyle w:val="Heading1"/>
        <w:spacing w:after="120" w:before="60"/>
      </w:pPr>
      <w:r>
        <w:rPr>
          <w:rFonts w:ascii="Consolas" w:cs="Consolas" w:eastAsia="Consolas" w:hAnsi="Consolas"/>
          <w:b/>
          <w:bCs/>
          <w:color w:val="7C3AED"/>
          <w:sz w:val="26"/>
          <w:szCs w:val="26"/>
        </w:rPr>
        <w:t xml:space="preserve">19  </w:t>
      </w:r>
      <w:r>
        <w:rPr>
          <w:rFonts w:ascii="Calibri" w:cs="Calibri" w:eastAsia="Calibri" w:hAnsi="Calibri"/>
          <w:b/>
          <w:bCs/>
          <w:color w:val="0D0E1A"/>
          <w:sz w:val="30"/>
          <w:szCs w:val="30"/>
        </w:rPr>
        <w:t xml:space="preserve">Acceptance &amp; signature</w:t>
      </w:r>
    </w:p>
    <w:p>
      <w:pPr>
        <w:spacing w:after="140"/>
      </w:pPr>
      <w:r>
        <w:rPr>
          <w:rFonts w:ascii="Calibri" w:cs="Calibri" w:eastAsia="Calibri" w:hAnsi="Calibri"/>
          <w:color w:val="33354A"/>
          <w:sz w:val="21"/>
          <w:szCs w:val="21"/>
        </w:rPr>
        <w:t xml:space="preserve">By signing below, each party agrees to the scope, deliverables, acceptance criteria, timeline and commercial terms set out in this Statement of Work.</w:t>
      </w:r>
    </w:p>
    <w:p>
      <w:pPr>
        <w:spacing w:after="240"/>
      </w:pPr>
      <w:r>
        <w:t xml:space="preserve"/>
      </w:r>
    </w:p>
    <w:tbl>
      <w:tblPr>
        <w:tblW w:type="dxa" w:w="9026"/>
        <w:tblBorders>
          <w:top w:val="single" w:color="D9DCEA" w:sz="4"/>
          <w:left w:val="none"/>
          <w:bottom w:val="single" w:color="D9DCEA" w:sz="4"/>
          <w:right w:val="none"/>
          <w:insideH w:val="single" w:color="D9DCEA" w:sz="4"/>
          <w:insideV w:val="none"/>
        </w:tblBorders>
      </w:tblPr>
      <w:tblGrid>
        <w:gridCol w:w="4513"/>
        <w:gridCol w:w="4513"/>
      </w:tblGrid>
      <w:tr>
        <w:trPr>
          <w:tblHeader/>
        </w:trPr>
        <w:tc>
          <w:tcPr>
            <w:tcW w:type="dxa" w:w="4513"/>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Accepted for the Client</w:t>
            </w:r>
          </w:p>
        </w:tc>
        <w:tc>
          <w:tcPr>
            <w:tcW w:type="dxa" w:w="4513"/>
            <w:shd w:fill="F4F5FA" w:color="auto" w:val="clear"/>
            <w:tcMar>
              <w:top w:type="dxa" w:w="70"/>
              <w:left w:type="dxa" w:w="110"/>
              <w:bottom w:type="dxa" w:w="70"/>
              <w:right w:type="dxa" w:w="110"/>
            </w:tcMar>
            <w:vAlign w:val="top"/>
          </w:tcPr>
          <w:p>
            <w:r>
              <w:rPr>
                <w:rFonts w:ascii="Consolas" w:cs="Consolas" w:eastAsia="Consolas" w:hAnsi="Consolas"/>
                <w:b/>
                <w:bCs/>
                <w:color w:val="6A6C83"/>
                <w:sz w:val="15"/>
                <w:szCs w:val="15"/>
              </w:rPr>
              <w:t xml:space="preserve">For and on behalf of Pixorama Group</w:t>
            </w:r>
          </w:p>
        </w:tc>
      </w:tr>
      <w:tr>
        <w:tc>
          <w:tcPr>
            <w:tcW w:type="dxa" w:w="4513"/>
            <w:tcMar>
              <w:top w:type="dxa" w:w="70"/>
              <w:left w:type="dxa" w:w="110"/>
              <w:bottom w:type="dxa" w:w="70"/>
              <w:right w:type="dxa" w:w="110"/>
            </w:tcMar>
            <w:vAlign w:val="top"/>
          </w:tcPr>
          <w:p>
            <w:pPr>
              <w:spacing w:after="60"/>
            </w:pPr>
            <w:r>
              <w:rPr>
                <w:rFonts w:ascii="Consolas" w:cs="Consolas" w:eastAsia="Consolas" w:hAnsi="Consolas"/>
                <w:b/>
                <w:bCs/>
                <w:color w:val="6A6C83"/>
                <w:spacing w:val="40"/>
                <w:sz w:val="15"/>
                <w:szCs w:val="15"/>
              </w:rPr>
              <w:t xml:space="preserve">CLIENT</w:t>
            </w:r>
          </w:p>
          <w:p>
            <w:pPr>
              <w:spacing w:after="360"/>
            </w:pPr>
            <w:r>
              <w:t xml:space="preserve"/>
            </w:r>
          </w:p>
          <w:p>
            <w:pPr>
              <w:pBdr>
                <w:bottom w:val="single" w:color="0D0E1A" w:sz="4"/>
              </w:pBdr>
              <w:spacing w:after="30"/>
            </w:pPr>
            <w:r>
              <w:rPr>
                <w:sz w:val="2"/>
                <w:szCs w:val="2"/>
              </w:rPr>
              <w:t xml:space="preserve"/>
            </w:r>
          </w:p>
          <w:p>
            <w:pPr>
              <w:spacing w:after="10"/>
            </w:pPr>
            <w:r>
              <w:rPr>
                <w:rFonts w:ascii="Calibri" w:cs="Calibri" w:eastAsia="Calibri" w:hAnsi="Calibri"/>
                <w:b/>
                <w:bCs/>
                <w:color w:val="0D0E1A"/>
                <w:sz w:val="20"/>
                <w:szCs w:val="20"/>
              </w:rPr>
              <w:t xml:space="preserve">Hugo Martinez</w:t>
            </w:r>
          </w:p>
          <w:p>
            <w:r>
              <w:rPr>
                <w:rFonts w:ascii="Calibri" w:cs="Calibri" w:eastAsia="Calibri" w:hAnsi="Calibri"/>
                <w:color w:val="6A6C83"/>
                <w:sz w:val="17"/>
                <w:szCs w:val="17"/>
              </w:rPr>
              <w:t xml:space="preserve">Signature · Date</w:t>
            </w:r>
          </w:p>
        </w:tc>
        <w:tc>
          <w:tcPr>
            <w:tcW w:type="dxa" w:w="4513"/>
            <w:tcMar>
              <w:top w:type="dxa" w:w="70"/>
              <w:left w:type="dxa" w:w="110"/>
              <w:bottom w:type="dxa" w:w="70"/>
              <w:right w:type="dxa" w:w="110"/>
            </w:tcMar>
            <w:vAlign w:val="top"/>
          </w:tcPr>
          <w:p>
            <w:pPr>
              <w:spacing w:after="60"/>
            </w:pPr>
            <w:r>
              <w:rPr>
                <w:rFonts w:ascii="Consolas" w:cs="Consolas" w:eastAsia="Consolas" w:hAnsi="Consolas"/>
                <w:b/>
                <w:bCs/>
                <w:color w:val="6A6C83"/>
                <w:spacing w:val="40"/>
                <w:sz w:val="15"/>
                <w:szCs w:val="15"/>
              </w:rPr>
              <w:t xml:space="preserve">SUPPLIER</w:t>
            </w:r>
          </w:p>
          <w:p>
            <w:pPr>
              <w:spacing w:after="360"/>
            </w:pPr>
            <w:r>
              <w:t xml:space="preserve"/>
            </w:r>
          </w:p>
          <w:p>
            <w:pPr>
              <w:pBdr>
                <w:bottom w:val="single" w:color="0D0E1A" w:sz="4"/>
              </w:pBdr>
              <w:spacing w:after="30"/>
            </w:pPr>
            <w:r>
              <w:rPr>
                <w:sz w:val="2"/>
                <w:szCs w:val="2"/>
              </w:rPr>
              <w:t xml:space="preserve"/>
            </w:r>
          </w:p>
          <w:p>
            <w:pPr>
              <w:spacing w:after="10"/>
            </w:pPr>
            <w:r>
              <w:rPr>
                <w:rFonts w:ascii="Calibri" w:cs="Calibri" w:eastAsia="Calibri" w:hAnsi="Calibri"/>
                <w:b/>
                <w:bCs/>
                <w:color w:val="0D0E1A"/>
                <w:sz w:val="20"/>
                <w:szCs w:val="20"/>
              </w:rPr>
              <w:t xml:space="preserve">Authorised signatory</w:t>
            </w:r>
          </w:p>
          <w:p>
            <w:r>
              <w:rPr>
                <w:rFonts w:ascii="Calibri" w:cs="Calibri" w:eastAsia="Calibri" w:hAnsi="Calibri"/>
                <w:color w:val="6A6C83"/>
                <w:sz w:val="17"/>
                <w:szCs w:val="17"/>
              </w:rPr>
              <w:t xml:space="preserve">Signature · Date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A" w:sz="4"/>
      </w:pBdr>
      <w:tabs>
        <w:tab w:val="right" w:pos="9026"/>
      </w:tabs>
    </w:pPr>
    <w:r>
      <w:rPr>
        <w:rFonts w:ascii="Consolas" w:cs="Consolas" w:eastAsia="Consolas" w:hAnsi="Consolas"/>
        <w:color w:val="8A8CA0"/>
        <w:sz w:val="14"/>
        <w:szCs w:val="14"/>
      </w:rPr>
      <w:t xml:space="preserve">Confidential · SOW-2026-011 · Prepared for Hugo Martinez</w:t>
    </w:r>
    <w:r>
      <w:rPr>
        <w:rFonts w:ascii="Consolas" w:cs="Consolas" w:eastAsia="Consolas" w:hAnsi="Consolas"/>
        <w:sz w:val="14"/>
        <w:szCs w:val="14"/>
      </w:rPr>
      <w:t xml:space="preserve">	</w:t>
    </w:r>
    <w:r>
      <w:rPr>
        <w:rFonts w:ascii="Consolas" w:cs="Consolas" w:eastAsia="Consolas" w:hAnsi="Consolas"/>
        <w:color w:val="8A8CA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A" w:sz="4"/>
      </w:pBdr>
      <w:jc w:val="right"/>
    </w:pPr>
    <w:r>
      <w:rPr>
        <w:rFonts w:ascii="Consolas" w:cs="Consolas" w:eastAsia="Consolas" w:hAnsi="Consolas"/>
        <w:color w:val="8A8CA0"/>
        <w:spacing w:val="20"/>
        <w:sz w:val="14"/>
        <w:szCs w:val="14"/>
      </w:rPr>
      <w:t xml:space="preserve">AI Device Inspector —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5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60"/>
    </w:pPr>
    <w:rPr>
      <w:rFonts w:ascii="Calibri" w:cs="Calibri" w:eastAsia="Calibri" w:hAnsi="Calibri"/>
      <w:b/>
      <w:bCs/>
      <w:color w:val="0D0E1A"/>
      <w:sz w:val="30"/>
      <w:szCs w:val="30"/>
    </w:rPr>
  </w:style>
  <w:style w:type="paragraph" w:styleId="Heading2">
    <w:name w:val="Heading 2"/>
    <w:basedOn w:val="Normal"/>
    <w:next w:val="Normal"/>
    <w:qFormat/>
    <w:pPr>
      <w:spacing w:after="90" w:before="220"/>
    </w:pPr>
    <w:rPr>
      <w:rFonts w:ascii="Calibri" w:cs="Calibri" w:eastAsia="Calibri" w:hAnsi="Calibri"/>
      <w:b/>
      <w:bCs/>
      <w:color w:val="0D0E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Device Inspector — Statement of Work</dc:title>
  <dc:subject>Statement of Work · SOW-2026-011 · prepared for Hugo Martinez</dc:subject>
  <dc:creator>Pixorama Group</dc:creator>
  <dc:description>Deliverables, acceptance criteria, timeline and commercial terms.</dc:description>
  <cp:lastModifiedBy>Un-named</cp:lastModifiedBy>
  <cp:revision>1</cp:revision>
  <dcterms:created xsi:type="dcterms:W3CDTF">2026-07-24T10:53:33.981Z</dcterms:created>
  <dcterms:modified xsi:type="dcterms:W3CDTF">2026-07-24T10:53:33.982Z</dcterms:modified>
</cp:coreProperties>
</file>

<file path=docProps/custom.xml><?xml version="1.0" encoding="utf-8"?>
<Properties xmlns="http://schemas.openxmlformats.org/officeDocument/2006/custom-properties" xmlns:vt="http://schemas.openxmlformats.org/officeDocument/2006/docPropsVTypes"/>
</file>