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Rule="auto" w:line="240"/>
        <w:jc w:val="left"/>
      </w:pPr>
      <w:r>
        <w:rPr>
          <w:rFonts w:ascii="Calibri" w:hAnsi="Calibri"/>
          <w:b/>
          <w:i w:val="0"/>
          <w:color w:val="1F4D78"/>
          <w:sz w:val="36"/>
        </w:rPr>
        <w:t>GA7-220501096-AA5-EV01. Diseño y desarrollo de servicios web - caso</w:t>
      </w:r>
    </w:p>
    <w:p>
      <w:pPr>
        <w:spacing w:before="0" w:after="200" w:lineRule="auto" w:line="252"/>
        <w:jc w:val="left"/>
      </w:pPr>
      <w:r>
        <w:rPr>
          <w:rFonts w:ascii="Calibri" w:hAnsi="Calibri"/>
          <w:b w:val="0"/>
          <w:i w:val="0"/>
          <w:color w:val="666666"/>
          <w:sz w:val="22"/>
        </w:rPr>
        <w:t>TechStore Solutions S.A.S. | Servicio web de autenticación para registro e inicio de sesión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32"/>
        <w:gridCol w:w="7128"/>
      </w:tblGrid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21"/>
              </w:rPr>
              <w:t>Proyecto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TechStore Solutions S.A.S.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21"/>
              </w:rPr>
              <w:t>Repositorio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https://github.com/0S4K1H/TechStore_NetBeans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21"/>
              </w:rPr>
              <w:t>Rama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codex/techstore-publish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21"/>
              </w:rPr>
              <w:t>Tecnologías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Java 21, Jakarta Servlet, JDBC, MySQL, React JS y Axios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21"/>
              </w:rPr>
              <w:t>Video de sustentación</w:t>
            </w:r>
          </w:p>
        </w:tc>
        <w:tc>
          <w:tcPr>
            <w:tcW w:type="dxa" w:w="712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1"/>
              </w:rPr>
              <w:t>Pendiente de anexar en el envío final</w:t>
            </w:r>
          </w:p>
        </w:tc>
      </w:tr>
    </w:tbl>
    <w:p>
      <w:pPr>
        <w:pStyle w:val="Heading1"/>
        <w:spacing w:before="320" w:after="120" w:lineRule="auto" w:line="252"/>
        <w:jc w:val="left"/>
      </w:pPr>
      <w:r>
        <w:t>1. Objetivo</w:t>
      </w:r>
    </w:p>
    <w:p>
      <w:pPr>
        <w:spacing w:before="0" w:after="12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Documentar el diseño y la codificación del servicio web solicitado en la evidencia GA7-220501096-AA5-EV01, centrado en el registro y el inicio de sesión de usuarios. La solución se apoya en el backend Java del proyecto TechStore y expone un contrato JSON consumible desde el front-end React.</w:t>
      </w:r>
    </w:p>
    <w:p>
      <w:pPr>
        <w:pStyle w:val="Heading1"/>
        <w:spacing w:before="320" w:after="120" w:lineRule="auto" w:line="252"/>
        <w:jc w:val="left"/>
      </w:pPr>
      <w:r>
        <w:t>2. Alcance funcional</w:t>
      </w:r>
    </w:p>
    <w:p>
      <w:pPr>
        <w:pStyle w:val="ListBullet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Crear una cuenta nueva con rol cliente, sin permitir que el cliente defina privilegios administrativos.</w:t>
      </w:r>
    </w:p>
    <w:p>
      <w:pPr>
        <w:pStyle w:val="ListBullet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Autenticar usuario o correo junto con contraseña y devolver un mensaje claro de éxito o error.</w:t>
      </w:r>
    </w:p>
    <w:p>
      <w:pPr>
        <w:pStyle w:val="ListBullet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Mantener la sesión HTTP del usuario autenticado para que el front-end reconozca el rol correcto.</w:t>
      </w:r>
    </w:p>
    <w:p>
      <w:pPr>
        <w:pStyle w:val="ListBullet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Cerrar la sesión cuando el usuario lo solicite.</w:t>
      </w:r>
    </w:p>
    <w:p>
      <w:pPr>
        <w:pStyle w:val="Heading1"/>
        <w:spacing w:before="320" w:after="120" w:lineRule="auto" w:line="252"/>
        <w:jc w:val="left"/>
      </w:pPr>
      <w:r>
        <w:t>3. Diseño del servicio web</w:t>
      </w:r>
    </w:p>
    <w:p>
      <w:pPr>
        <w:spacing w:before="0" w:after="12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El servicio se organiza bajo el prefijo /api/auth/* y usa JSON para entrada y salida. El front-end React consume estas rutas mediante Axios, mientras que el backend valida, normaliza roles, genera sesiones y protege la contraseña con hash bcrypt.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76"/>
        <w:gridCol w:w="1224"/>
        <w:gridCol w:w="4248"/>
        <w:gridCol w:w="1512"/>
      </w:tblGrid>
      <w:tr>
        <w:tc>
          <w:tcPr>
            <w:tcW w:type="dxa" w:w="237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21"/>
              </w:rPr>
              <w:t>Ruta</w:t>
            </w:r>
          </w:p>
        </w:tc>
        <w:tc>
          <w:tcPr>
            <w:tcW w:type="dxa" w:w="12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21"/>
              </w:rPr>
              <w:t>Método</w:t>
            </w:r>
          </w:p>
        </w:tc>
        <w:tc>
          <w:tcPr>
            <w:tcW w:type="dxa" w:w="42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21"/>
              </w:rPr>
              <w:t>Contrato</w:t>
            </w:r>
          </w:p>
        </w:tc>
        <w:tc>
          <w:tcPr>
            <w:tcW w:type="dxa" w:w="151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21"/>
              </w:rPr>
              <w:t>Observaciones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/api/auth/register</w:t>
            </w:r>
          </w:p>
        </w:tc>
        <w:tc>
          <w:tcPr>
            <w:tcW w:type="dxa" w:w="1224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POST</w:t>
            </w:r>
          </w:p>
        </w:tc>
        <w:tc>
          <w:tcPr>
            <w:tcW w:type="dxa" w:w="4248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Entrada: username, email, password, nombre y ciudad. Salida: 201 con UsuarioPublico. Errores: 400, 409 y 500.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Crea la cuenta, asigna rol cliente y deja sesión iniciada.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/api/auth/login</w:t>
            </w:r>
          </w:p>
        </w:tc>
        <w:tc>
          <w:tcPr>
            <w:tcW w:type="dxa" w:w="1224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POST</w:t>
            </w:r>
          </w:p>
        </w:tc>
        <w:tc>
          <w:tcPr>
            <w:tcW w:type="dxa" w:w="4248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Entrada: identifier y password. Salida: 200 con UsuarioPublico. Errores: 400, 401, 429 y 500.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Acepta username o email y bloquea intentos repetidos.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/api/auth/session</w:t>
            </w:r>
          </w:p>
        </w:tc>
        <w:tc>
          <w:tcPr>
            <w:tcW w:type="dxa" w:w="1224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GET</w:t>
            </w:r>
          </w:p>
        </w:tc>
        <w:tc>
          <w:tcPr>
            <w:tcW w:type="dxa" w:w="4248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Sin cuerpo. Salida: 200 con el usuario actual o null.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Permite al front-end restaurar la sesión.</w:t>
            </w:r>
          </w:p>
        </w:tc>
      </w:tr>
      <w:tr>
        <w:tc>
          <w:tcPr>
            <w:tcW w:type="dxa" w:w="2376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/api/auth/logout</w:t>
            </w:r>
          </w:p>
        </w:tc>
        <w:tc>
          <w:tcPr>
            <w:tcW w:type="dxa" w:w="1224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POST</w:t>
            </w:r>
          </w:p>
        </w:tc>
        <w:tc>
          <w:tcPr>
            <w:tcW w:type="dxa" w:w="4248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Sin cuerpo. Salida: 200 con {ok:true}.</w:t>
            </w:r>
          </w:p>
        </w:tc>
        <w:tc>
          <w:tcPr>
            <w:tcW w:type="dxa" w:w="1512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Invalida la sesión activa.</w:t>
            </w:r>
          </w:p>
        </w:tc>
      </w:tr>
    </w:tbl>
    <w:p>
      <w:pPr>
        <w:spacing w:before="120" w:after="120" w:lineRule="auto" w:line="240"/>
        <w:jc w:val="left"/>
      </w:pPr>
      <w:r>
        <w:rPr>
          <w:rFonts w:ascii="Calibri" w:hAnsi="Calibri"/>
          <w:b w:val="0"/>
          <w:i/>
          <w:color w:val="666666"/>
          <w:sz w:val="21"/>
        </w:rPr>
        <w:t>Nota: la respuesta pública del servicio nunca expone el campo password; se serializa el DTO UsuarioPublico.</w:t>
      </w:r>
    </w:p>
    <w:p>
      <w:pPr>
        <w:pStyle w:val="Heading1"/>
        <w:spacing w:before="320" w:after="120" w:lineRule="auto" w:line="252"/>
        <w:jc w:val="left"/>
      </w:pPr>
      <w:r>
        <w:t>4. Componentes principales del backend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24"/>
        <w:gridCol w:w="6336"/>
      </w:tblGrid>
      <w:tr>
        <w:tc>
          <w:tcPr>
            <w:tcW w:type="dxa" w:w="302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21"/>
              </w:rPr>
              <w:t>Archivo / clase</w:t>
            </w:r>
          </w:p>
        </w:tc>
        <w:tc>
          <w:tcPr>
            <w:tcW w:type="dxa" w:w="6336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/>
                <w:i w:val="0"/>
                <w:color w:val="1F1F1F"/>
                <w:sz w:val="21"/>
              </w:rPr>
              <w:t>Función en la evidencia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AuthApiServlet.java</w:t>
            </w:r>
          </w:p>
        </w:tc>
        <w:tc>
          <w:tcPr>
            <w:tcW w:type="dxa" w:w="6336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Recibe las peticiones de login, registro, sesión y logout; valida cuerpos JSON y devuelve respuestas HTTP.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UsuarioDAO.java</w:t>
            </w:r>
          </w:p>
        </w:tc>
        <w:tc>
          <w:tcPr>
            <w:tcW w:type="dxa" w:w="6336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Consulta la base de datos, autentica credenciales, crea usuarios y migra contraseñas legacy a bcrypt.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PasswordUtil.java</w:t>
            </w:r>
          </w:p>
        </w:tc>
        <w:tc>
          <w:tcPr>
            <w:tcW w:type="dxa" w:w="6336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Cifra y verifica contraseñas con bcrypt.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RoleUtil.java</w:t>
            </w:r>
          </w:p>
        </w:tc>
        <w:tc>
          <w:tcPr>
            <w:tcW w:type="dxa" w:w="6336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Normaliza roles como admin, empleado y cliente para evitar errores por mayúsculas, acentos o variantes.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LoginRateLimiter.java</w:t>
            </w:r>
          </w:p>
        </w:tc>
        <w:tc>
          <w:tcPr>
            <w:tcW w:type="dxa" w:w="6336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Reduce abuso por intentos repetidos de autenticación.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ApiSupport.java</w:t>
            </w:r>
          </w:p>
        </w:tc>
        <w:tc>
          <w:tcPr>
            <w:tcW w:type="dxa" w:w="6336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Lee el usuario autenticado de la sesión HTTP y aplica controles de acceso.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AuthFilter.java</w:t>
            </w:r>
          </w:p>
        </w:tc>
        <w:tc>
          <w:tcPr>
            <w:tcW w:type="dxa" w:w="6336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Protege las rutas privadas y deja públicas las rutas de autenticación y catálogo.</w:t>
            </w:r>
          </w:p>
        </w:tc>
      </w:tr>
      <w:tr>
        <w:tc>
          <w:tcPr>
            <w:tcW w:type="dxa" w:w="3024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UsuarioPublico.java</w:t>
            </w:r>
          </w:p>
        </w:tc>
        <w:tc>
          <w:tcPr>
            <w:tcW w:type="dxa" w:w="6336"/>
            <w:vAlign w:val="top"/>
          </w:tcPr>
          <w:p>
            <w:pPr>
              <w:spacing w:before="0" w:after="0" w:lineRule="auto" w:line="240"/>
              <w:jc w:val="left"/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DTO seguro para devolver datos del usuario sin exponer la contraseña.</w:t>
            </w:r>
          </w:p>
        </w:tc>
      </w:tr>
    </w:tbl>
    <w:p>
      <w:pPr>
        <w:pStyle w:val="Heading1"/>
        <w:spacing w:before="320" w:after="120" w:lineRule="auto" w:line="252"/>
        <w:jc w:val="left"/>
      </w:pPr>
      <w:r>
        <w:t>5. Flujo de autenticación</w:t>
      </w:r>
    </w:p>
    <w:p>
      <w:pPr>
        <w:pStyle w:val="ListNumber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El cliente React envía un cuerpo JSON a /api/auth/register o /api/auth/login.</w:t>
      </w:r>
    </w:p>
    <w:p>
      <w:pPr>
        <w:pStyle w:val="ListNumber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AuthApiServlet valida el contenido con Json.read y rechaza solicitudes vacías o mal formadas.</w:t>
      </w:r>
    </w:p>
    <w:p>
      <w:pPr>
        <w:pStyle w:val="ListNumber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UsuarioDAO busca la cuenta activa, compara la contraseña y, si encuentra una cuenta legacy, la migra a bcrypt.</w:t>
      </w:r>
    </w:p>
    <w:p>
      <w:pPr>
        <w:pStyle w:val="ListNumber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RoleUtil canoniza el rol para que el panel identifique siempre al administrador como administrador y no como un valor ambiguo.</w:t>
      </w:r>
    </w:p>
    <w:p>
      <w:pPr>
        <w:pStyle w:val="ListNumber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La sesión HTTP guarda usuarioAutenticado, rolAutenticado, nombreAutenticado y usernameAutenticado.</w:t>
      </w:r>
    </w:p>
    <w:p>
      <w:pPr>
        <w:pStyle w:val="ListNumber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El front-end consulta /api/auth/session para restaurar la sesión y usa /api/auth/logout para cerrarla.</w:t>
      </w:r>
    </w:p>
    <w:p>
      <w:pPr>
        <w:pStyle w:val="Heading1"/>
        <w:spacing w:before="320" w:after="120" w:lineRule="auto" w:line="252"/>
        <w:jc w:val="left"/>
      </w:pPr>
      <w:r>
        <w:t>6. Evidencia de validación</w:t>
      </w:r>
    </w:p>
    <w:p>
      <w:pPr>
        <w:pStyle w:val="ListBullet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El proyecto cuenta con comentarios explicativos en los puntos críticos: validación del cuerpo, bloqueo por intentos, migración de contraseñas y control de permisos.</w:t>
      </w:r>
    </w:p>
    <w:p>
      <w:pPr>
        <w:pStyle w:val="ListBullet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La API expone mensajes de error claros para credenciales inválidas, registros duplicados, sesiones ausentes y permisos insuficientes.</w:t>
      </w:r>
    </w:p>
    <w:p>
      <w:pPr>
        <w:pStyle w:val="ListBullet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El servicio está integrado con el front-end React, que llama las rutas de autenticación por Axios y refleja el rol correcto en la interfaz.</w:t>
      </w:r>
    </w:p>
    <w:p>
      <w:pPr>
        <w:pStyle w:val="ListBullet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El repositorio se administra con Git y la rama de trabajo usada para esta evidencia es codex/techstore-publish.</w:t>
      </w:r>
    </w:p>
    <w:p>
      <w:pPr>
        <w:pStyle w:val="Heading1"/>
        <w:spacing w:before="320" w:after="120" w:lineRule="auto" w:line="252"/>
        <w:jc w:val="left"/>
      </w:pPr>
      <w:r>
        <w:t>7. Guion breve para la sustentación</w:t>
      </w:r>
    </w:p>
    <w:p>
      <w:pPr>
        <w:pStyle w:val="ListNumber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Abrir el repositorio y mostrar la estructura del módulo TechStore Web Servlets.</w:t>
      </w:r>
    </w:p>
    <w:p>
      <w:pPr>
        <w:pStyle w:val="ListNumber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Entrar a AuthApiServlet.java y explicar cómo se separan login, register, session y logout.</w:t>
      </w:r>
    </w:p>
    <w:p>
      <w:pPr>
        <w:pStyle w:val="ListNumber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Mostrar UsuarioDAO.java para enseñar la autenticación, la creación de usuarios y el manejo de bcrypt.</w:t>
      </w:r>
    </w:p>
    <w:p>
      <w:pPr>
        <w:pStyle w:val="ListNumber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Mostrar RoleUtil.java y AuthFilter.java para explicar la normalización de roles y la protección de rutas.</w:t>
      </w:r>
    </w:p>
    <w:p>
      <w:pPr>
        <w:pStyle w:val="ListNumber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Mostrar cómo el front-end React consume /api/auth/login y /api/auth/register por Axios.</w:t>
      </w:r>
    </w:p>
    <w:p>
      <w:pPr>
        <w:pStyle w:val="ListNumber"/>
        <w:spacing w:before="0" w:after="8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Cerrar indicando que la solución cumple el caso solicitado y que el enlace del repositorio queda listo para entrega.</w:t>
      </w:r>
    </w:p>
    <w:p>
      <w:pPr>
        <w:pStyle w:val="Heading1"/>
        <w:spacing w:before="320" w:after="120" w:lineRule="auto" w:line="252"/>
        <w:jc w:val="left"/>
      </w:pPr>
      <w:r>
        <w:t>8. Conclusión</w:t>
      </w:r>
    </w:p>
    <w:p>
      <w:pPr>
        <w:spacing w:before="0" w:after="120" w:lineRule="auto" w:line="276"/>
        <w:jc w:val="left"/>
      </w:pPr>
      <w:r>
        <w:rPr>
          <w:rFonts w:ascii="Calibri" w:hAnsi="Calibri"/>
          <w:b w:val="0"/>
          <w:i w:val="0"/>
          <w:color w:val="1F1F1F"/>
          <w:sz w:val="22"/>
        </w:rPr>
        <w:t>La solución implementa un servicio web real de autenticación para registro e inicio de sesión, con sesiones HTTP, validación de roles, protección de contraseñas y respuesta JSON segura. Esto deja el proyecto TechStore alineado con la evidencia GA7-220501096-AA5-EV01 y listo para ser sustentado desde el repositorio de GitHub.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Página </w:t>
    </w:r>
    <w:fldChar w:fldCharType="begin"/>
    <w:instrText xml:space="preserve"> PAGE </w:instrText>
    <w:fldChar w:fldCharType="separate"/>
    <w:t>1</w:t>
    <w:fldChar w:fldCharType="end"/>
    <w:r>
      <w:rPr>
        <w:rFonts w:ascii="Calibri" w:hAnsi="Calibri"/>
        <w:b w:val="0"/>
        <w:i w:val="0"/>
        <w:color w:val="666666"/>
        <w:sz w:val="18"/>
      </w:rPr>
      <w:t xml:space="preserve"> | TechStore | AA5-EV01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GA7-220501096-AA5-EV01. Diseño y desarrollo de servicios web - caso</dc:title>
  <dc:subject>Evidencia AA5 - Servicio web de autenticación</dc:subject>
  <dc:creator>Codex</dc:creator>
  <cp:keywords/>
  <dc:description>TechStore evidence document for GA7-220501096-AA5-EV01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